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1.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00F74EA5" w:rsidP="00F74EA5" w:rsidRDefault="00F74EA5" w14:paraId="7FE8C43D" w14:textId="77777777">
      <w:pPr>
        <w:rPr>
          <w:rFonts w:cstheme="minorHAnsi"/>
          <w:b/>
          <w:bCs/>
          <w:color w:val="FFFFFF" w:themeColor="background1"/>
          <w:sz w:val="56"/>
          <w:szCs w:val="56"/>
          <w:lang w:eastAsia="en-GB"/>
        </w:rPr>
      </w:pPr>
      <w:r w:rsidRPr="00183C97">
        <w:rPr>
          <w:noProof/>
          <w:lang w:eastAsia="en-GB"/>
        </w:rPr>
        <mc:AlternateContent>
          <mc:Choice Requires="wps">
            <w:drawing>
              <wp:anchor distT="0" distB="0" distL="114300" distR="114300" simplePos="0" relativeHeight="251663360" behindDoc="0" locked="0" layoutInCell="1" allowOverlap="1" wp14:anchorId="26CB2927" wp14:editId="5AF69415">
                <wp:simplePos x="0" y="0"/>
                <wp:positionH relativeFrom="margin">
                  <wp:posOffset>-1133475</wp:posOffset>
                </wp:positionH>
                <wp:positionV relativeFrom="paragraph">
                  <wp:posOffset>-1019175</wp:posOffset>
                </wp:positionV>
                <wp:extent cx="3257550" cy="19050"/>
                <wp:effectExtent l="0" t="0" r="19050" b="19050"/>
                <wp:wrapNone/>
                <wp:docPr id="26" name="Straight Connector 26"/>
                <wp:cNvGraphicFramePr/>
                <a:graphic xmlns:a="http://schemas.openxmlformats.org/drawingml/2006/main">
                  <a:graphicData uri="http://schemas.microsoft.com/office/word/2010/wordprocessingShape">
                    <wps:wsp>
                      <wps:cNvCnPr/>
                      <wps:spPr>
                        <a:xfrm flipV="1">
                          <a:off x="0" y="0"/>
                          <a:ext cx="3257550" cy="1905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5pt" from="-89.25pt,-80.25pt" to="167.25pt,-78.75pt" w14:anchorId="001F7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">
                <v:stroke joinstyle="miter"/>
                <w10:wrap anchorx="margin"/>
              </v:line>
            </w:pict>
          </mc:Fallback>
        </mc:AlternateContent>
      </w:r>
      <w:r w:rsidRPr="00183C97">
        <w:rPr>
          <w:b/>
          <w:bCs/>
          <w:noProof/>
          <w:color w:val="FFFFFF" w:themeColor="background1"/>
          <w:lang w:eastAsia="en-GB"/>
        </w:rPr>
        <w:drawing>
          <wp:anchor distT="0" distB="0" distL="114300" distR="114300" simplePos="0" relativeHeight="251661312" behindDoc="0" locked="0" layoutInCell="1" allowOverlap="1" wp14:anchorId="70E26C68" wp14:editId="3965BFB4">
            <wp:simplePos x="0" y="0"/>
            <wp:positionH relativeFrom="margin">
              <wp:posOffset>4638675</wp:posOffset>
            </wp:positionH>
            <wp:positionV relativeFrom="paragraph">
              <wp:posOffset>-740410</wp:posOffset>
            </wp:positionV>
            <wp:extent cx="1866900" cy="687924"/>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COG whit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66900" cy="687924"/>
                    </a:xfrm>
                    <a:prstGeom prst="rect">
                      <a:avLst/>
                    </a:prstGeom>
                  </pic:spPr>
                </pic:pic>
              </a:graphicData>
            </a:graphic>
            <wp14:sizeRelH relativeFrom="page">
              <wp14:pctWidth>0</wp14:pctWidth>
            </wp14:sizeRelH>
            <wp14:sizeRelV relativeFrom="page">
              <wp14:pctHeight>0</wp14:pctHeight>
            </wp14:sizeRelV>
          </wp:anchor>
        </w:drawing>
      </w:r>
      <w:r w:rsidRPr="00183C97">
        <w:rPr>
          <w:b/>
          <w:bCs/>
          <w:noProof/>
          <w:color w:val="FFFFFF" w:themeColor="background1"/>
          <w:lang w:eastAsia="en-GB"/>
        </w:rPr>
        <mc:AlternateContent>
          <mc:Choice Requires="wps">
            <w:drawing>
              <wp:anchor distT="0" distB="0" distL="114300" distR="114300" simplePos="0" relativeHeight="251659264" behindDoc="1" locked="0" layoutInCell="1" allowOverlap="1" wp14:anchorId="07C1A08E" wp14:editId="2A39246E">
                <wp:simplePos x="0" y="0"/>
                <wp:positionH relativeFrom="page">
                  <wp:posOffset>-219075</wp:posOffset>
                </wp:positionH>
                <wp:positionV relativeFrom="paragraph">
                  <wp:posOffset>-1018540</wp:posOffset>
                </wp:positionV>
                <wp:extent cx="7905750" cy="11892280"/>
                <wp:effectExtent l="0" t="0" r="19050" b="13970"/>
                <wp:wrapNone/>
                <wp:docPr id="25" name="Rectangle 25"/>
                <wp:cNvGraphicFramePr/>
                <a:graphic xmlns:a="http://schemas.openxmlformats.org/drawingml/2006/main">
                  <a:graphicData uri="http://schemas.microsoft.com/office/word/2010/wordprocessingShape">
                    <wps:wsp>
                      <wps:cNvSpPr/>
                      <wps:spPr>
                        <a:xfrm>
                          <a:off x="0" y="0"/>
                          <a:ext cx="7905750" cy="1189228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5" style="position:absolute;margin-left:-17.25pt;margin-top:-80.2pt;width:622.5pt;height:936.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13E6DC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">
                <w10:wrap anchorx="page"/>
              </v:rect>
            </w:pict>
          </mc:Fallback>
        </mc:AlternateContent>
      </w:r>
    </w:p>
    <w:p w:rsidR="00A47DA7" w:rsidP="00F74EA5" w:rsidRDefault="00A47DA7" w14:paraId="1FBD54FE" w14:textId="77777777">
      <w:pPr>
        <w:spacing w:line="360" w:lineRule="auto"/>
        <w:rPr>
          <w:rFonts w:cstheme="minorHAnsi"/>
          <w:b/>
          <w:bCs/>
          <w:color w:val="FFFFFF" w:themeColor="background1"/>
          <w:sz w:val="56"/>
          <w:szCs w:val="56"/>
          <w:lang w:eastAsia="en-GB"/>
        </w:rPr>
      </w:pPr>
    </w:p>
    <w:p w:rsidR="00A47DA7" w:rsidP="2FF77C75" w:rsidRDefault="00F74EA5" w14:paraId="0CB53C26" w14:textId="39692F65">
      <w:pPr>
        <w:spacing w:line="360" w:lineRule="auto"/>
        <w:rPr>
          <w:b w:val="1"/>
          <w:bCs w:val="1"/>
          <w:color w:val="FFFFFF" w:themeColor="background1" w:themeTint="FF" w:themeShade="FF"/>
          <w:sz w:val="56"/>
          <w:szCs w:val="56"/>
          <w:lang w:eastAsia="en-GB"/>
        </w:rPr>
      </w:pPr>
      <w:r w:rsidRPr="7113E963" w:rsidR="67E65400">
        <w:rPr>
          <w:b w:val="1"/>
          <w:bCs w:val="1"/>
          <w:color w:val="FFFFFF" w:themeColor="background1"/>
          <w:sz w:val="56"/>
          <w:szCs w:val="56"/>
          <w:lang w:eastAsia="en-GB"/>
        </w:rPr>
        <w:t xml:space="preserve">TEF </w:t>
      </w:r>
      <w:r w:rsidRPr="7113E963" w:rsidR="4E57F802">
        <w:rPr>
          <w:b w:val="1"/>
          <w:bCs w:val="1"/>
          <w:color w:val="FFFFFF" w:themeColor="background1"/>
          <w:sz w:val="56"/>
          <w:szCs w:val="56"/>
          <w:lang w:eastAsia="en-GB"/>
        </w:rPr>
        <w:t xml:space="preserve">Thematic </w:t>
      </w:r>
      <w:r w:rsidRPr="7113E963" w:rsidR="05A18D77">
        <w:rPr>
          <w:b w:val="1"/>
          <w:bCs w:val="1"/>
          <w:color w:val="FFFFFF" w:themeColor="background1"/>
          <w:sz w:val="56"/>
          <w:szCs w:val="56"/>
          <w:lang w:eastAsia="en-GB"/>
        </w:rPr>
        <w:t>Report</w:t>
      </w:r>
      <w:r w:rsidRPr="7113E963" w:rsidR="05A18D77">
        <w:rPr>
          <w:b w:val="1"/>
          <w:bCs w:val="1"/>
          <w:color w:val="FFFFFF" w:themeColor="background1"/>
          <w:sz w:val="56"/>
          <w:szCs w:val="56"/>
          <w:lang w:eastAsia="en-GB"/>
        </w:rPr>
        <w:t xml:space="preserve"> </w:t>
      </w:r>
    </w:p>
    <w:p w:rsidR="00A47DA7" w:rsidP="7113E963" w:rsidRDefault="00F74EA5" w14:paraId="3D725F6D" w14:textId="436247CD">
      <w:pPr>
        <w:spacing w:line="360" w:lineRule="auto"/>
        <w:rPr>
          <w:b w:val="1"/>
          <w:bCs w:val="1"/>
          <w:color w:val="FFFFFF" w:themeColor="background1"/>
          <w:sz w:val="56"/>
          <w:szCs w:val="56"/>
          <w:lang w:eastAsia="en-GB"/>
        </w:rPr>
      </w:pPr>
      <w:r w:rsidRPr="7113E963" w:rsidR="05A18D77">
        <w:rPr>
          <w:b w:val="1"/>
          <w:bCs w:val="1"/>
          <w:color w:val="FFFFFF" w:themeColor="background1"/>
          <w:sz w:val="56"/>
          <w:szCs w:val="56"/>
          <w:lang w:eastAsia="en-GB"/>
        </w:rPr>
        <w:t xml:space="preserve">Wellbeing &amp; Burnout</w:t>
      </w:r>
      <w:r w:rsidRPr="7113E963" w:rsidR="00F74EA5">
        <w:rPr>
          <w:b w:val="1"/>
          <w:bCs w:val="1"/>
          <w:color w:val="FFFFFF" w:themeColor="background1"/>
          <w:sz w:val="56"/>
          <w:szCs w:val="56"/>
          <w:lang w:eastAsia="en-GB"/>
        </w:rPr>
        <w:t xml:space="preserve">   </w:t>
      </w:r>
    </w:p>
    <w:p w:rsidR="2FF77C75" w:rsidP="2FF77C75" w:rsidRDefault="2FF77C75" w14:paraId="60D38A7A" w14:textId="18AB400D">
      <w:pPr>
        <w:spacing w:line="360" w:lineRule="auto"/>
        <w:rPr>
          <w:b w:val="1"/>
          <w:bCs w:val="1"/>
          <w:color w:val="FFFFFF" w:themeColor="background1" w:themeTint="FF" w:themeShade="FF"/>
          <w:sz w:val="56"/>
          <w:szCs w:val="56"/>
          <w:lang w:eastAsia="en-GB"/>
        </w:rPr>
      </w:pPr>
    </w:p>
    <w:p w:rsidRPr="00F74EA5" w:rsidR="00F74EA5" w:rsidP="3A232ED9" w:rsidRDefault="231F1BB6" w14:paraId="67C3B98E" w14:textId="402365B0">
      <w:pPr>
        <w:spacing w:line="360" w:lineRule="auto"/>
        <w:rPr>
          <w:b w:val="1"/>
          <w:bCs w:val="1"/>
          <w:color w:val="FFFFFF" w:themeColor="background1"/>
          <w:sz w:val="36"/>
          <w:szCs w:val="36"/>
          <w:lang w:eastAsia="en-GB"/>
        </w:rPr>
      </w:pPr>
      <w:r w:rsidRPr="7E398E7B" w:rsidR="1F4676D8">
        <w:rPr>
          <w:b w:val="1"/>
          <w:bCs w:val="1"/>
          <w:color w:val="FFFFFF" w:themeColor="background1" w:themeTint="FF" w:themeShade="FF"/>
          <w:sz w:val="36"/>
          <w:szCs w:val="36"/>
          <w:lang w:eastAsia="en-GB"/>
        </w:rPr>
        <w:t>December</w:t>
      </w:r>
      <w:r w:rsidRPr="7E398E7B" w:rsidR="231F1BB6">
        <w:rPr>
          <w:b w:val="1"/>
          <w:bCs w:val="1"/>
          <w:color w:val="FFFFFF" w:themeColor="background1" w:themeTint="FF" w:themeShade="FF"/>
          <w:sz w:val="36"/>
          <w:szCs w:val="36"/>
          <w:lang w:eastAsia="en-GB"/>
        </w:rPr>
        <w:t xml:space="preserve"> 2025</w:t>
      </w:r>
      <w:r w:rsidRPr="7E398E7B" w:rsidR="00F74EA5">
        <w:rPr>
          <w:b w:val="1"/>
          <w:bCs w:val="1"/>
          <w:color w:val="FFFFFF" w:themeColor="background1" w:themeTint="FF" w:themeShade="FF"/>
          <w:sz w:val="36"/>
          <w:szCs w:val="36"/>
          <w:lang w:eastAsia="en-GB"/>
        </w:rPr>
        <w:t xml:space="preserve"> </w:t>
      </w:r>
    </w:p>
    <w:p w:rsidRPr="002E3BA7" w:rsidR="00F74EA5" w:rsidP="00F74EA5" w:rsidRDefault="00F74EA5" w14:paraId="5AB25812" w14:textId="77777777">
      <w:pPr>
        <w:rPr>
          <w:rFonts w:cstheme="minorHAnsi"/>
          <w:b/>
          <w:bCs/>
          <w:color w:val="FFFFFF" w:themeColor="background1"/>
          <w:sz w:val="28"/>
          <w:szCs w:val="28"/>
          <w:lang w:eastAsia="en-GB"/>
        </w:rPr>
      </w:pPr>
    </w:p>
    <w:p w:rsidR="00A47DA7" w:rsidP="00F74EA5" w:rsidRDefault="00A47DA7" w14:paraId="06E9A26E" w14:textId="77777777">
      <w:pPr>
        <w:rPr>
          <w:rFonts w:cstheme="minorHAnsi"/>
          <w:b/>
          <w:bCs/>
          <w:color w:val="FFFFFF" w:themeColor="background1"/>
          <w:sz w:val="28"/>
          <w:szCs w:val="28"/>
          <w:lang w:eastAsia="en-GB"/>
        </w:rPr>
      </w:pPr>
    </w:p>
    <w:p w:rsidR="00F74EA5" w:rsidP="00F74EA5" w:rsidRDefault="00F74EA5" w14:paraId="3AA53ACE" w14:textId="77777777">
      <w:pPr>
        <w:spacing w:line="240" w:lineRule="auto"/>
        <w:rPr>
          <w:rFonts w:cstheme="minorHAnsi"/>
          <w:bCs/>
          <w:color w:val="FFFFFF" w:themeColor="background1"/>
          <w:lang w:eastAsia="en-GB"/>
        </w:rPr>
      </w:pPr>
    </w:p>
    <w:p w:rsidR="00F74EA5" w:rsidP="00F74EA5" w:rsidRDefault="00F74EA5" w14:paraId="6FCDC3DB" w14:textId="77777777">
      <w:pPr>
        <w:spacing w:line="240" w:lineRule="auto"/>
        <w:rPr>
          <w:rFonts w:cstheme="minorHAnsi"/>
          <w:bCs/>
          <w:color w:val="FFFFFF" w:themeColor="background1"/>
          <w:lang w:eastAsia="en-GB"/>
        </w:rPr>
      </w:pPr>
    </w:p>
    <w:p w:rsidR="00F74EA5" w:rsidP="00F74EA5" w:rsidRDefault="00F74EA5" w14:paraId="43DF8C4A" w14:textId="77777777">
      <w:pPr>
        <w:spacing w:line="240" w:lineRule="auto"/>
        <w:rPr>
          <w:rFonts w:cstheme="minorHAnsi"/>
          <w:bCs/>
          <w:color w:val="FFFFFF" w:themeColor="background1"/>
          <w:lang w:eastAsia="en-GB"/>
        </w:rPr>
      </w:pPr>
    </w:p>
    <w:p w:rsidR="00F74EA5" w:rsidP="00F74EA5" w:rsidRDefault="00F74EA5" w14:paraId="7215C3BA" w14:textId="77777777">
      <w:pPr>
        <w:spacing w:line="240" w:lineRule="auto"/>
        <w:rPr>
          <w:rFonts w:cstheme="minorHAnsi"/>
          <w:bCs/>
          <w:color w:val="FFFFFF" w:themeColor="background1"/>
          <w:lang w:eastAsia="en-GB"/>
        </w:rPr>
      </w:pPr>
    </w:p>
    <w:p w:rsidR="00F74EA5" w:rsidP="00F74EA5" w:rsidRDefault="00F74EA5" w14:paraId="4802B666" w14:textId="77777777">
      <w:pPr>
        <w:spacing w:line="240" w:lineRule="auto"/>
        <w:rPr>
          <w:rFonts w:cstheme="minorHAnsi"/>
          <w:bCs/>
          <w:color w:val="FFFFFF" w:themeColor="background1"/>
          <w:lang w:eastAsia="en-GB"/>
        </w:rPr>
      </w:pPr>
    </w:p>
    <w:p w:rsidR="00F74EA5" w:rsidP="00F74EA5" w:rsidRDefault="00F74EA5" w14:paraId="2B1C3C66" w14:textId="77777777">
      <w:pPr>
        <w:spacing w:line="240" w:lineRule="auto"/>
        <w:rPr>
          <w:rFonts w:cstheme="minorHAnsi"/>
          <w:bCs/>
          <w:color w:val="FFFFFF" w:themeColor="background1"/>
          <w:lang w:eastAsia="en-GB"/>
        </w:rPr>
      </w:pPr>
    </w:p>
    <w:p w:rsidR="00F74EA5" w:rsidP="00F74EA5" w:rsidRDefault="00F74EA5" w14:paraId="7545EA9F" w14:textId="77777777">
      <w:pPr>
        <w:spacing w:line="240" w:lineRule="auto"/>
        <w:rPr>
          <w:rFonts w:cstheme="minorHAnsi"/>
          <w:bCs/>
          <w:color w:val="FFFFFF" w:themeColor="background1"/>
          <w:lang w:eastAsia="en-GB"/>
        </w:rPr>
      </w:pPr>
    </w:p>
    <w:p w:rsidR="00F74EA5" w:rsidP="00F74EA5" w:rsidRDefault="00F74EA5" w14:paraId="1646C03D" w14:textId="77777777">
      <w:pPr>
        <w:spacing w:line="240" w:lineRule="auto"/>
        <w:rPr>
          <w:rFonts w:cstheme="minorHAnsi"/>
          <w:bCs/>
          <w:color w:val="FFFFFF" w:themeColor="background1"/>
          <w:lang w:eastAsia="en-GB"/>
        </w:rPr>
      </w:pPr>
    </w:p>
    <w:p w:rsidR="00F74EA5" w:rsidP="00F74EA5" w:rsidRDefault="00F74EA5" w14:paraId="33499BFC" w14:textId="77777777">
      <w:pPr>
        <w:spacing w:line="240" w:lineRule="auto"/>
        <w:rPr>
          <w:rFonts w:cstheme="minorHAnsi"/>
          <w:bCs/>
          <w:color w:val="FFFFFF" w:themeColor="background1"/>
          <w:lang w:eastAsia="en-GB"/>
        </w:rPr>
      </w:pPr>
    </w:p>
    <w:p w:rsidR="00F74EA5" w:rsidP="00F74EA5" w:rsidRDefault="00F74EA5" w14:paraId="29F1D263" w14:textId="77777777">
      <w:pPr>
        <w:spacing w:line="240" w:lineRule="auto"/>
        <w:rPr>
          <w:rFonts w:cstheme="minorHAnsi"/>
          <w:bCs/>
          <w:color w:val="FFFFFF" w:themeColor="background1"/>
          <w:lang w:eastAsia="en-GB"/>
        </w:rPr>
      </w:pPr>
    </w:p>
    <w:p w:rsidR="00F74EA5" w:rsidP="00F74EA5" w:rsidRDefault="00F74EA5" w14:paraId="3D20F083" w14:textId="77777777">
      <w:pPr>
        <w:spacing w:line="240" w:lineRule="auto"/>
        <w:rPr>
          <w:rFonts w:cstheme="minorHAnsi"/>
          <w:bCs/>
          <w:color w:val="FFFFFF" w:themeColor="background1"/>
          <w:lang w:eastAsia="en-GB"/>
        </w:rPr>
      </w:pPr>
    </w:p>
    <w:p w:rsidR="00F74EA5" w:rsidP="00F74EA5" w:rsidRDefault="00F74EA5" w14:paraId="33B7B58C" w14:textId="77777777">
      <w:pPr>
        <w:spacing w:line="240" w:lineRule="auto"/>
        <w:rPr>
          <w:rFonts w:cstheme="minorHAnsi"/>
          <w:bCs/>
          <w:color w:val="FFFFFF" w:themeColor="background1"/>
          <w:lang w:eastAsia="en-GB"/>
        </w:rPr>
      </w:pPr>
    </w:p>
    <w:p w:rsidR="00F74EA5" w:rsidP="00F74EA5" w:rsidRDefault="00F74EA5" w14:paraId="29BC7B2D" w14:textId="77777777">
      <w:pPr>
        <w:spacing w:line="240" w:lineRule="auto"/>
        <w:rPr>
          <w:rFonts w:cstheme="minorHAnsi"/>
          <w:bCs/>
          <w:color w:val="FFFFFF" w:themeColor="background1"/>
          <w:lang w:eastAsia="en-GB"/>
        </w:rPr>
      </w:pPr>
    </w:p>
    <w:p w:rsidR="00F74EA5" w:rsidP="00F74EA5" w:rsidRDefault="00F74EA5" w14:paraId="3ECE337B" w14:textId="77777777">
      <w:pPr>
        <w:spacing w:line="240" w:lineRule="auto"/>
        <w:rPr>
          <w:rFonts w:cstheme="minorHAnsi"/>
          <w:bCs/>
          <w:color w:val="FFFFFF" w:themeColor="background1"/>
          <w:lang w:eastAsia="en-GB"/>
        </w:rPr>
      </w:pPr>
    </w:p>
    <w:p w:rsidR="00F74EA5" w:rsidP="00F74EA5" w:rsidRDefault="00F74EA5" w14:paraId="0799D020" w14:textId="77777777">
      <w:pPr>
        <w:spacing w:line="240" w:lineRule="auto"/>
        <w:rPr>
          <w:rFonts w:cstheme="minorHAnsi"/>
          <w:bCs/>
          <w:color w:val="FFFFFF" w:themeColor="background1"/>
          <w:lang w:eastAsia="en-GB"/>
        </w:rPr>
      </w:pPr>
    </w:p>
    <w:p w:rsidR="00F74EA5" w:rsidP="00F74EA5" w:rsidRDefault="00F74EA5" w14:paraId="32D21851" w14:textId="77777777">
      <w:pPr>
        <w:spacing w:line="240" w:lineRule="auto"/>
        <w:rPr>
          <w:rFonts w:cstheme="minorHAnsi"/>
          <w:bCs/>
          <w:color w:val="FFFFFF" w:themeColor="background1"/>
          <w:lang w:eastAsia="en-GB"/>
        </w:rPr>
      </w:pPr>
    </w:p>
    <w:p w:rsidR="00F74EA5" w:rsidP="00F74EA5" w:rsidRDefault="00F74EA5" w14:paraId="40FBBA36" w14:textId="77777777">
      <w:pPr>
        <w:spacing w:line="240" w:lineRule="auto"/>
        <w:rPr>
          <w:rFonts w:cstheme="minorHAnsi"/>
          <w:bCs/>
          <w:color w:val="FFFFFF" w:themeColor="background1"/>
          <w:lang w:eastAsia="en-GB"/>
        </w:rPr>
      </w:pPr>
    </w:p>
    <w:p w:rsidR="00F74EA5" w:rsidP="00F74EA5" w:rsidRDefault="00F74EA5" w14:paraId="14237AD8" w14:textId="77777777">
      <w:pPr>
        <w:spacing w:line="240" w:lineRule="auto"/>
        <w:rPr>
          <w:rFonts w:cstheme="minorHAnsi"/>
          <w:bCs/>
          <w:color w:val="FFFFFF" w:themeColor="background1"/>
          <w:lang w:eastAsia="en-GB"/>
        </w:rPr>
      </w:pPr>
    </w:p>
    <w:p w:rsidRPr="002E3BA7" w:rsidR="00F74EA5" w:rsidP="00F74EA5" w:rsidRDefault="00F74EA5" w14:paraId="302C600D" w14:textId="77777777">
      <w:pPr>
        <w:spacing w:line="240" w:lineRule="auto"/>
        <w:rPr>
          <w:rFonts w:cstheme="minorHAnsi"/>
          <w:bCs/>
          <w:color w:val="FFFFFF" w:themeColor="background1"/>
          <w:lang w:eastAsia="en-GB"/>
        </w:rPr>
      </w:pPr>
    </w:p>
    <w:p w:rsidR="006D1DE9" w:rsidP="2FF77C75" w:rsidRDefault="00206FB7" w14:paraId="7F65D3D1" w14:textId="4F0E829B">
      <w:pPr>
        <w:pStyle w:val="TOCHeading"/>
        <w:rPr>
          <w:color w:val="auto"/>
          <w:u w:val="none"/>
          <w:lang w:eastAsia="en-GB"/>
        </w:rPr>
      </w:pPr>
      <w:r w:rsidRPr="2FF77C75" w:rsidR="65D60608">
        <w:rPr>
          <w:color w:val="auto"/>
          <w:u w:val="none"/>
          <w:lang w:eastAsia="en-GB"/>
        </w:rPr>
        <w:t>Table of Contents</w:t>
      </w:r>
      <w:r w:rsidRPr="2FF77C75" w:rsidR="00206FB7">
        <w:rPr>
          <w:color w:val="auto"/>
          <w:u w:val="none"/>
          <w:lang w:eastAsia="en-GB"/>
        </w:rPr>
        <w:t>​</w:t>
      </w:r>
      <w:r w:rsidRPr="2FF77C75" w:rsidR="00206FB7">
        <w:rPr>
          <w:color w:val="auto"/>
          <w:u w:val="none"/>
          <w:lang w:eastAsia="en-GB"/>
        </w:rPr>
        <w:t> </w:t>
      </w:r>
    </w:p>
    <w:p w:rsidRPr="00F05E51" w:rsidR="00F05E51" w:rsidP="00F05E51" w:rsidRDefault="00F05E51" w14:paraId="0704BBDE" w14:textId="77777777">
      <w:pPr>
        <w:spacing w:line="276" w:lineRule="auto"/>
        <w:rPr>
          <w:lang w:eastAsia="en-GB"/>
        </w:rPr>
      </w:pPr>
      <w:r w:rsidRPr="2FF77C75" w:rsidR="00F05E51">
        <w:rPr>
          <w:u w:val="single"/>
          <w:lang w:eastAsia="en-GB"/>
        </w:rPr>
        <w:t>​</w:t>
      </w:r>
      <w:r w:rsidRPr="2FF77C75" w:rsidR="00F05E51">
        <w:rPr>
          <w:lang w:eastAsia="en-GB"/>
        </w:rPr>
        <w:t> </w:t>
      </w:r>
    </w:p>
    <w:sdt>
      <w:sdtPr>
        <w:id w:val="1551633859"/>
        <w:docPartObj>
          <w:docPartGallery w:val="Table of Contents"/>
          <w:docPartUnique/>
        </w:docPartObj>
      </w:sdtPr>
      <w:sdtContent>
        <w:p w:rsidR="2FF77C75" w:rsidP="2FF77C75" w:rsidRDefault="2FF77C75" w14:paraId="2264CFE5" w14:textId="6AD34756">
          <w:pPr>
            <w:pStyle w:val="TOC1"/>
            <w:tabs>
              <w:tab w:val="right" w:leader="dot" w:pos="9015"/>
            </w:tabs>
            <w:bidi w:val="0"/>
            <w:rPr>
              <w:rStyle w:val="Hyperlink"/>
            </w:rPr>
          </w:pPr>
          <w:r>
            <w:fldChar w:fldCharType="begin"/>
          </w:r>
          <w:r>
            <w:instrText xml:space="preserve">TOC \o \z \u \h</w:instrText>
          </w:r>
          <w:r>
            <w:fldChar w:fldCharType="separate"/>
          </w:r>
          <w:hyperlink w:anchor="_Toc1902154817">
            <w:r w:rsidRPr="2FF77C75" w:rsidR="2FF77C75">
              <w:rPr>
                <w:rStyle w:val="Hyperlink"/>
              </w:rPr>
              <w:t>Executive Summary</w:t>
            </w:r>
            <w:r>
              <w:tab/>
            </w:r>
            <w:r>
              <w:fldChar w:fldCharType="begin"/>
            </w:r>
            <w:r>
              <w:instrText xml:space="preserve">PAGEREF _Toc1902154817 \h</w:instrText>
            </w:r>
            <w:r>
              <w:fldChar w:fldCharType="separate"/>
            </w:r>
            <w:r w:rsidRPr="2FF77C75" w:rsidR="2FF77C75">
              <w:rPr>
                <w:rStyle w:val="Hyperlink"/>
              </w:rPr>
              <w:t>3</w:t>
            </w:r>
            <w:r>
              <w:fldChar w:fldCharType="end"/>
            </w:r>
          </w:hyperlink>
        </w:p>
        <w:p w:rsidR="2FF77C75" w:rsidP="2FF77C75" w:rsidRDefault="2FF77C75" w14:paraId="58CC4683" w14:textId="165694CA">
          <w:pPr>
            <w:pStyle w:val="TOC1"/>
            <w:tabs>
              <w:tab w:val="right" w:leader="dot" w:pos="9015"/>
            </w:tabs>
            <w:bidi w:val="0"/>
            <w:rPr>
              <w:rStyle w:val="Hyperlink"/>
            </w:rPr>
          </w:pPr>
          <w:hyperlink w:anchor="_Toc1912239199">
            <w:r w:rsidRPr="2FF77C75" w:rsidR="2FF77C75">
              <w:rPr>
                <w:rStyle w:val="Hyperlink"/>
              </w:rPr>
              <w:t>Background</w:t>
            </w:r>
            <w:r>
              <w:tab/>
            </w:r>
            <w:r>
              <w:fldChar w:fldCharType="begin"/>
            </w:r>
            <w:r>
              <w:instrText xml:space="preserve">PAGEREF _Toc1912239199 \h</w:instrText>
            </w:r>
            <w:r>
              <w:fldChar w:fldCharType="separate"/>
            </w:r>
            <w:r w:rsidRPr="2FF77C75" w:rsidR="2FF77C75">
              <w:rPr>
                <w:rStyle w:val="Hyperlink"/>
              </w:rPr>
              <w:t>4</w:t>
            </w:r>
            <w:r>
              <w:fldChar w:fldCharType="end"/>
            </w:r>
          </w:hyperlink>
        </w:p>
        <w:p w:rsidR="2FF77C75" w:rsidP="2FF77C75" w:rsidRDefault="2FF77C75" w14:paraId="5F27F41F" w14:textId="63BEEED4">
          <w:pPr>
            <w:pStyle w:val="TOC1"/>
            <w:tabs>
              <w:tab w:val="right" w:leader="dot" w:pos="9015"/>
            </w:tabs>
            <w:bidi w:val="0"/>
            <w:rPr>
              <w:rStyle w:val="Hyperlink"/>
            </w:rPr>
          </w:pPr>
          <w:hyperlink w:anchor="_Toc1324457247">
            <w:r w:rsidRPr="2FF77C75" w:rsidR="2FF77C75">
              <w:rPr>
                <w:rStyle w:val="Hyperlink"/>
              </w:rPr>
              <w:t>Introduction</w:t>
            </w:r>
            <w:r>
              <w:tab/>
            </w:r>
            <w:r>
              <w:fldChar w:fldCharType="begin"/>
            </w:r>
            <w:r>
              <w:instrText xml:space="preserve">PAGEREF _Toc1324457247 \h</w:instrText>
            </w:r>
            <w:r>
              <w:fldChar w:fldCharType="separate"/>
            </w:r>
            <w:r w:rsidRPr="2FF77C75" w:rsidR="2FF77C75">
              <w:rPr>
                <w:rStyle w:val="Hyperlink"/>
              </w:rPr>
              <w:t>4</w:t>
            </w:r>
            <w:r>
              <w:fldChar w:fldCharType="end"/>
            </w:r>
          </w:hyperlink>
        </w:p>
        <w:p w:rsidR="2FF77C75" w:rsidP="2FF77C75" w:rsidRDefault="2FF77C75" w14:paraId="302FD60D" w14:textId="6FA3CBF7">
          <w:pPr>
            <w:pStyle w:val="TOC1"/>
            <w:tabs>
              <w:tab w:val="right" w:leader="dot" w:pos="9015"/>
            </w:tabs>
            <w:bidi w:val="0"/>
            <w:rPr>
              <w:rStyle w:val="Hyperlink"/>
            </w:rPr>
          </w:pPr>
          <w:hyperlink w:anchor="_Toc2003749681">
            <w:r w:rsidRPr="2FF77C75" w:rsidR="2FF77C75">
              <w:rPr>
                <w:rStyle w:val="Hyperlink"/>
              </w:rPr>
              <w:t>Methodology</w:t>
            </w:r>
            <w:r>
              <w:tab/>
            </w:r>
            <w:r>
              <w:fldChar w:fldCharType="begin"/>
            </w:r>
            <w:r>
              <w:instrText xml:space="preserve">PAGEREF _Toc2003749681 \h</w:instrText>
            </w:r>
            <w:r>
              <w:fldChar w:fldCharType="separate"/>
            </w:r>
            <w:r w:rsidRPr="2FF77C75" w:rsidR="2FF77C75">
              <w:rPr>
                <w:rStyle w:val="Hyperlink"/>
              </w:rPr>
              <w:t>5</w:t>
            </w:r>
            <w:r>
              <w:fldChar w:fldCharType="end"/>
            </w:r>
          </w:hyperlink>
        </w:p>
        <w:p w:rsidR="2FF77C75" w:rsidP="2FF77C75" w:rsidRDefault="2FF77C75" w14:paraId="5FDDAEF2" w14:textId="4308C50E">
          <w:pPr>
            <w:pStyle w:val="TOC1"/>
            <w:tabs>
              <w:tab w:val="right" w:leader="dot" w:pos="9015"/>
            </w:tabs>
            <w:bidi w:val="0"/>
            <w:rPr>
              <w:rStyle w:val="Hyperlink"/>
            </w:rPr>
          </w:pPr>
          <w:hyperlink w:anchor="_Toc2084703649">
            <w:r w:rsidRPr="2FF77C75" w:rsidR="2FF77C75">
              <w:rPr>
                <w:rStyle w:val="Hyperlink"/>
              </w:rPr>
              <w:t>Analysis and Discussion</w:t>
            </w:r>
            <w:r>
              <w:tab/>
            </w:r>
            <w:r>
              <w:fldChar w:fldCharType="begin"/>
            </w:r>
            <w:r>
              <w:instrText xml:space="preserve">PAGEREF _Toc2084703649 \h</w:instrText>
            </w:r>
            <w:r>
              <w:fldChar w:fldCharType="separate"/>
            </w:r>
            <w:r w:rsidRPr="2FF77C75" w:rsidR="2FF77C75">
              <w:rPr>
                <w:rStyle w:val="Hyperlink"/>
              </w:rPr>
              <w:t>6</w:t>
            </w:r>
            <w:r>
              <w:fldChar w:fldCharType="end"/>
            </w:r>
          </w:hyperlink>
        </w:p>
        <w:p w:rsidR="2FF77C75" w:rsidP="2FF77C75" w:rsidRDefault="2FF77C75" w14:paraId="0427C56B" w14:textId="49CDD38D">
          <w:pPr>
            <w:pStyle w:val="TOC2"/>
            <w:tabs>
              <w:tab w:val="right" w:leader="dot" w:pos="9015"/>
            </w:tabs>
            <w:bidi w:val="0"/>
            <w:rPr>
              <w:rStyle w:val="Hyperlink"/>
            </w:rPr>
          </w:pPr>
          <w:hyperlink w:anchor="_Toc85805879">
            <w:r w:rsidRPr="2FF77C75" w:rsidR="2FF77C75">
              <w:rPr>
                <w:rStyle w:val="Hyperlink"/>
              </w:rPr>
              <w:t>Attrition and intention to leave speciality</w:t>
            </w:r>
            <w:r>
              <w:tab/>
            </w:r>
            <w:r>
              <w:fldChar w:fldCharType="begin"/>
            </w:r>
            <w:r>
              <w:instrText xml:space="preserve">PAGEREF _Toc85805879 \h</w:instrText>
            </w:r>
            <w:r>
              <w:fldChar w:fldCharType="separate"/>
            </w:r>
            <w:r w:rsidRPr="2FF77C75" w:rsidR="2FF77C75">
              <w:rPr>
                <w:rStyle w:val="Hyperlink"/>
              </w:rPr>
              <w:t>6</w:t>
            </w:r>
            <w:r>
              <w:fldChar w:fldCharType="end"/>
            </w:r>
          </w:hyperlink>
        </w:p>
        <w:p w:rsidR="2FF77C75" w:rsidP="2FF77C75" w:rsidRDefault="2FF77C75" w14:paraId="11F50A3F" w14:textId="53F56A92">
          <w:pPr>
            <w:pStyle w:val="TOC2"/>
            <w:tabs>
              <w:tab w:val="right" w:leader="dot" w:pos="9015"/>
            </w:tabs>
            <w:bidi w:val="0"/>
            <w:rPr>
              <w:rStyle w:val="Hyperlink"/>
            </w:rPr>
          </w:pPr>
          <w:hyperlink w:anchor="_Toc1028423125">
            <w:r w:rsidRPr="2FF77C75" w:rsidR="2FF77C75">
              <w:rPr>
                <w:rStyle w:val="Hyperlink"/>
              </w:rPr>
              <w:t>Working patterns, rotas and working conditions</w:t>
            </w:r>
            <w:r>
              <w:tab/>
            </w:r>
            <w:r>
              <w:fldChar w:fldCharType="begin"/>
            </w:r>
            <w:r>
              <w:instrText xml:space="preserve">PAGEREF _Toc1028423125 \h</w:instrText>
            </w:r>
            <w:r>
              <w:fldChar w:fldCharType="separate"/>
            </w:r>
            <w:r w:rsidRPr="2FF77C75" w:rsidR="2FF77C75">
              <w:rPr>
                <w:rStyle w:val="Hyperlink"/>
              </w:rPr>
              <w:t>8</w:t>
            </w:r>
            <w:r>
              <w:fldChar w:fldCharType="end"/>
            </w:r>
          </w:hyperlink>
        </w:p>
        <w:p w:rsidR="2FF77C75" w:rsidP="2FF77C75" w:rsidRDefault="2FF77C75" w14:paraId="164BC7B0" w14:textId="66700A59">
          <w:pPr>
            <w:pStyle w:val="TOC3"/>
            <w:tabs>
              <w:tab w:val="right" w:leader="dot" w:pos="9015"/>
            </w:tabs>
            <w:bidi w:val="0"/>
            <w:rPr>
              <w:rStyle w:val="Hyperlink"/>
            </w:rPr>
          </w:pPr>
          <w:hyperlink w:anchor="_Toc1726422901">
            <w:r w:rsidRPr="2FF77C75" w:rsidR="2FF77C75">
              <w:rPr>
                <w:rStyle w:val="Hyperlink"/>
              </w:rPr>
              <w:t>On call frequency</w:t>
            </w:r>
            <w:r>
              <w:tab/>
            </w:r>
            <w:r>
              <w:fldChar w:fldCharType="begin"/>
            </w:r>
            <w:r>
              <w:instrText xml:space="preserve">PAGEREF _Toc1726422901 \h</w:instrText>
            </w:r>
            <w:r>
              <w:fldChar w:fldCharType="separate"/>
            </w:r>
            <w:r w:rsidRPr="2FF77C75" w:rsidR="2FF77C75">
              <w:rPr>
                <w:rStyle w:val="Hyperlink"/>
              </w:rPr>
              <w:t>9</w:t>
            </w:r>
            <w:r>
              <w:fldChar w:fldCharType="end"/>
            </w:r>
          </w:hyperlink>
        </w:p>
        <w:p w:rsidR="2FF77C75" w:rsidP="2FF77C75" w:rsidRDefault="2FF77C75" w14:paraId="553B110D" w14:textId="76E2C069">
          <w:pPr>
            <w:pStyle w:val="TOC3"/>
            <w:tabs>
              <w:tab w:val="right" w:leader="dot" w:pos="9015"/>
            </w:tabs>
            <w:bidi w:val="0"/>
            <w:rPr>
              <w:rStyle w:val="Hyperlink"/>
            </w:rPr>
          </w:pPr>
          <w:hyperlink w:anchor="_Toc427659930">
            <w:r w:rsidRPr="2FF77C75" w:rsidR="2FF77C75">
              <w:rPr>
                <w:rStyle w:val="Hyperlink"/>
              </w:rPr>
              <w:t>Nights and weekends</w:t>
            </w:r>
            <w:r>
              <w:tab/>
            </w:r>
            <w:r>
              <w:fldChar w:fldCharType="begin"/>
            </w:r>
            <w:r>
              <w:instrText xml:space="preserve">PAGEREF _Toc427659930 \h</w:instrText>
            </w:r>
            <w:r>
              <w:fldChar w:fldCharType="separate"/>
            </w:r>
            <w:r w:rsidRPr="2FF77C75" w:rsidR="2FF77C75">
              <w:rPr>
                <w:rStyle w:val="Hyperlink"/>
              </w:rPr>
              <w:t>10</w:t>
            </w:r>
            <w:r>
              <w:fldChar w:fldCharType="end"/>
            </w:r>
          </w:hyperlink>
        </w:p>
        <w:p w:rsidR="2FF77C75" w:rsidP="2FF77C75" w:rsidRDefault="2FF77C75" w14:paraId="3EF82178" w14:textId="256298A0">
          <w:pPr>
            <w:pStyle w:val="TOC3"/>
            <w:tabs>
              <w:tab w:val="right" w:leader="dot" w:pos="9015"/>
            </w:tabs>
            <w:bidi w:val="0"/>
            <w:rPr>
              <w:rStyle w:val="Hyperlink"/>
            </w:rPr>
          </w:pPr>
          <w:hyperlink w:anchor="_Toc1610148826">
            <w:r w:rsidRPr="2FF77C75" w:rsidR="2FF77C75">
              <w:rPr>
                <w:rStyle w:val="Hyperlink"/>
              </w:rPr>
              <w:t>Basic facilities</w:t>
            </w:r>
            <w:r>
              <w:tab/>
            </w:r>
            <w:r>
              <w:fldChar w:fldCharType="begin"/>
            </w:r>
            <w:r>
              <w:instrText xml:space="preserve">PAGEREF _Toc1610148826 \h</w:instrText>
            </w:r>
            <w:r>
              <w:fldChar w:fldCharType="separate"/>
            </w:r>
            <w:r w:rsidRPr="2FF77C75" w:rsidR="2FF77C75">
              <w:rPr>
                <w:rStyle w:val="Hyperlink"/>
              </w:rPr>
              <w:t>11</w:t>
            </w:r>
            <w:r>
              <w:fldChar w:fldCharType="end"/>
            </w:r>
          </w:hyperlink>
        </w:p>
        <w:p w:rsidR="2FF77C75" w:rsidP="2FF77C75" w:rsidRDefault="2FF77C75" w14:paraId="5D272C3A" w14:textId="491883AB">
          <w:pPr>
            <w:pStyle w:val="TOC3"/>
            <w:tabs>
              <w:tab w:val="right" w:leader="dot" w:pos="9015"/>
            </w:tabs>
            <w:bidi w:val="0"/>
            <w:rPr>
              <w:rStyle w:val="Hyperlink"/>
            </w:rPr>
          </w:pPr>
          <w:hyperlink w:anchor="_Toc1967897845">
            <w:r w:rsidRPr="2FF77C75" w:rsidR="2FF77C75">
              <w:rPr>
                <w:rStyle w:val="Hyperlink"/>
              </w:rPr>
              <w:t>Rota provision</w:t>
            </w:r>
            <w:r>
              <w:tab/>
            </w:r>
            <w:r>
              <w:fldChar w:fldCharType="begin"/>
            </w:r>
            <w:r>
              <w:instrText xml:space="preserve">PAGEREF _Toc1967897845 \h</w:instrText>
            </w:r>
            <w:r>
              <w:fldChar w:fldCharType="separate"/>
            </w:r>
            <w:r w:rsidRPr="2FF77C75" w:rsidR="2FF77C75">
              <w:rPr>
                <w:rStyle w:val="Hyperlink"/>
              </w:rPr>
              <w:t>11</w:t>
            </w:r>
            <w:r>
              <w:fldChar w:fldCharType="end"/>
            </w:r>
          </w:hyperlink>
        </w:p>
        <w:p w:rsidR="2FF77C75" w:rsidP="2FF77C75" w:rsidRDefault="2FF77C75" w14:paraId="12E3B876" w14:textId="3969C439">
          <w:pPr>
            <w:pStyle w:val="TOC3"/>
            <w:tabs>
              <w:tab w:val="right" w:leader="dot" w:pos="9015"/>
            </w:tabs>
            <w:bidi w:val="0"/>
            <w:rPr>
              <w:rStyle w:val="Hyperlink"/>
            </w:rPr>
          </w:pPr>
          <w:hyperlink w:anchor="_Toc625080006">
            <w:r w:rsidRPr="2FF77C75" w:rsidR="2FF77C75">
              <w:rPr>
                <w:rStyle w:val="Hyperlink"/>
              </w:rPr>
              <w:t>Fulfilling training requirements</w:t>
            </w:r>
            <w:r>
              <w:tab/>
            </w:r>
            <w:r>
              <w:fldChar w:fldCharType="begin"/>
            </w:r>
            <w:r>
              <w:instrText xml:space="preserve">PAGEREF _Toc625080006 \h</w:instrText>
            </w:r>
            <w:r>
              <w:fldChar w:fldCharType="separate"/>
            </w:r>
            <w:r w:rsidRPr="2FF77C75" w:rsidR="2FF77C75">
              <w:rPr>
                <w:rStyle w:val="Hyperlink"/>
              </w:rPr>
              <w:t>12</w:t>
            </w:r>
            <w:r>
              <w:fldChar w:fldCharType="end"/>
            </w:r>
          </w:hyperlink>
        </w:p>
        <w:p w:rsidR="2FF77C75" w:rsidP="2FF77C75" w:rsidRDefault="2FF77C75" w14:paraId="2CC35917" w14:textId="1CD30526">
          <w:pPr>
            <w:pStyle w:val="TOC3"/>
            <w:tabs>
              <w:tab w:val="right" w:leader="dot" w:pos="9015"/>
            </w:tabs>
            <w:bidi w:val="0"/>
            <w:rPr>
              <w:rStyle w:val="Hyperlink"/>
            </w:rPr>
          </w:pPr>
          <w:hyperlink w:anchor="_Toc1224572563">
            <w:r w:rsidRPr="2FF77C75" w:rsidR="2FF77C75">
              <w:rPr>
                <w:rStyle w:val="Hyperlink"/>
              </w:rPr>
              <w:t>Exception reporting</w:t>
            </w:r>
            <w:r>
              <w:tab/>
            </w:r>
            <w:r>
              <w:fldChar w:fldCharType="begin"/>
            </w:r>
            <w:r>
              <w:instrText xml:space="preserve">PAGEREF _Toc1224572563 \h</w:instrText>
            </w:r>
            <w:r>
              <w:fldChar w:fldCharType="separate"/>
            </w:r>
            <w:r w:rsidRPr="2FF77C75" w:rsidR="2FF77C75">
              <w:rPr>
                <w:rStyle w:val="Hyperlink"/>
              </w:rPr>
              <w:t>14</w:t>
            </w:r>
            <w:r>
              <w:fldChar w:fldCharType="end"/>
            </w:r>
          </w:hyperlink>
        </w:p>
        <w:p w:rsidR="2FF77C75" w:rsidP="2FF77C75" w:rsidRDefault="2FF77C75" w14:paraId="5278A318" w14:textId="5C20BA07">
          <w:pPr>
            <w:pStyle w:val="TOC2"/>
            <w:tabs>
              <w:tab w:val="right" w:leader="dot" w:pos="9015"/>
            </w:tabs>
            <w:bidi w:val="0"/>
            <w:rPr>
              <w:rStyle w:val="Hyperlink"/>
            </w:rPr>
          </w:pPr>
          <w:hyperlink w:anchor="_Toc1819481120">
            <w:r w:rsidRPr="2FF77C75" w:rsidR="2FF77C75">
              <w:rPr>
                <w:rStyle w:val="Hyperlink"/>
              </w:rPr>
              <w:t>Support and workplace culture</w:t>
            </w:r>
            <w:r>
              <w:tab/>
            </w:r>
            <w:r>
              <w:fldChar w:fldCharType="begin"/>
            </w:r>
            <w:r>
              <w:instrText xml:space="preserve">PAGEREF _Toc1819481120 \h</w:instrText>
            </w:r>
            <w:r>
              <w:fldChar w:fldCharType="separate"/>
            </w:r>
            <w:r w:rsidRPr="2FF77C75" w:rsidR="2FF77C75">
              <w:rPr>
                <w:rStyle w:val="Hyperlink"/>
              </w:rPr>
              <w:t>14</w:t>
            </w:r>
            <w:r>
              <w:fldChar w:fldCharType="end"/>
            </w:r>
          </w:hyperlink>
        </w:p>
        <w:p w:rsidR="2FF77C75" w:rsidP="2FF77C75" w:rsidRDefault="2FF77C75" w14:paraId="00BB9C86" w14:textId="5B24D731">
          <w:pPr>
            <w:pStyle w:val="TOC3"/>
            <w:tabs>
              <w:tab w:val="right" w:leader="dot" w:pos="9015"/>
            </w:tabs>
            <w:bidi w:val="0"/>
            <w:rPr>
              <w:rStyle w:val="Hyperlink"/>
            </w:rPr>
          </w:pPr>
          <w:hyperlink w:anchor="_Toc2095031186">
            <w:r w:rsidRPr="2FF77C75" w:rsidR="2FF77C75">
              <w:rPr>
                <w:rStyle w:val="Hyperlink"/>
              </w:rPr>
              <w:t>Consultant support</w:t>
            </w:r>
            <w:r>
              <w:tab/>
            </w:r>
            <w:r>
              <w:fldChar w:fldCharType="begin"/>
            </w:r>
            <w:r>
              <w:instrText xml:space="preserve">PAGEREF _Toc2095031186 \h</w:instrText>
            </w:r>
            <w:r>
              <w:fldChar w:fldCharType="separate"/>
            </w:r>
            <w:r w:rsidRPr="2FF77C75" w:rsidR="2FF77C75">
              <w:rPr>
                <w:rStyle w:val="Hyperlink"/>
              </w:rPr>
              <w:t>14</w:t>
            </w:r>
            <w:r>
              <w:fldChar w:fldCharType="end"/>
            </w:r>
          </w:hyperlink>
        </w:p>
        <w:p w:rsidR="2FF77C75" w:rsidP="2FF77C75" w:rsidRDefault="2FF77C75" w14:paraId="7B1F9242" w14:textId="68925F38">
          <w:pPr>
            <w:pStyle w:val="TOC3"/>
            <w:tabs>
              <w:tab w:val="right" w:leader="dot" w:pos="9015"/>
            </w:tabs>
            <w:bidi w:val="0"/>
            <w:rPr>
              <w:rStyle w:val="Hyperlink"/>
            </w:rPr>
          </w:pPr>
          <w:hyperlink w:anchor="_Toc2109762655">
            <w:r w:rsidRPr="2FF77C75" w:rsidR="2FF77C75">
              <w:rPr>
                <w:rStyle w:val="Hyperlink"/>
              </w:rPr>
              <w:t>Educational supervision</w:t>
            </w:r>
            <w:r>
              <w:tab/>
            </w:r>
            <w:r>
              <w:fldChar w:fldCharType="begin"/>
            </w:r>
            <w:r>
              <w:instrText xml:space="preserve">PAGEREF _Toc2109762655 \h</w:instrText>
            </w:r>
            <w:r>
              <w:fldChar w:fldCharType="separate"/>
            </w:r>
            <w:r w:rsidRPr="2FF77C75" w:rsidR="2FF77C75">
              <w:rPr>
                <w:rStyle w:val="Hyperlink"/>
              </w:rPr>
              <w:t>15</w:t>
            </w:r>
            <w:r>
              <w:fldChar w:fldCharType="end"/>
            </w:r>
          </w:hyperlink>
        </w:p>
        <w:p w:rsidR="2FF77C75" w:rsidP="2FF77C75" w:rsidRDefault="2FF77C75" w14:paraId="2B68BCEE" w14:textId="1C12C65F">
          <w:pPr>
            <w:pStyle w:val="TOC3"/>
            <w:tabs>
              <w:tab w:val="right" w:leader="dot" w:pos="9015"/>
            </w:tabs>
            <w:bidi w:val="0"/>
            <w:rPr>
              <w:rStyle w:val="Hyperlink"/>
            </w:rPr>
          </w:pPr>
          <w:hyperlink w:anchor="_Toc1656851696">
            <w:r w:rsidRPr="2FF77C75" w:rsidR="2FF77C75">
              <w:rPr>
                <w:rStyle w:val="Hyperlink"/>
              </w:rPr>
              <w:t>Support after adverse events</w:t>
            </w:r>
            <w:r>
              <w:tab/>
            </w:r>
            <w:r>
              <w:fldChar w:fldCharType="begin"/>
            </w:r>
            <w:r>
              <w:instrText xml:space="preserve">PAGEREF _Toc1656851696 \h</w:instrText>
            </w:r>
            <w:r>
              <w:fldChar w:fldCharType="separate"/>
            </w:r>
            <w:r w:rsidRPr="2FF77C75" w:rsidR="2FF77C75">
              <w:rPr>
                <w:rStyle w:val="Hyperlink"/>
              </w:rPr>
              <w:t>15</w:t>
            </w:r>
            <w:r>
              <w:fldChar w:fldCharType="end"/>
            </w:r>
          </w:hyperlink>
        </w:p>
        <w:p w:rsidR="2FF77C75" w:rsidP="2FF77C75" w:rsidRDefault="2FF77C75" w14:paraId="1A926CB1" w14:textId="498EC75E">
          <w:pPr>
            <w:pStyle w:val="TOC3"/>
            <w:tabs>
              <w:tab w:val="right" w:leader="dot" w:pos="9015"/>
            </w:tabs>
            <w:bidi w:val="0"/>
            <w:rPr>
              <w:rStyle w:val="Hyperlink"/>
            </w:rPr>
          </w:pPr>
          <w:hyperlink w:anchor="_Toc1038169303">
            <w:r w:rsidRPr="2FF77C75" w:rsidR="2FF77C75">
              <w:rPr>
                <w:rStyle w:val="Hyperlink"/>
              </w:rPr>
              <w:t>Workplace behaviours</w:t>
            </w:r>
            <w:r>
              <w:tab/>
            </w:r>
            <w:r>
              <w:fldChar w:fldCharType="begin"/>
            </w:r>
            <w:r>
              <w:instrText xml:space="preserve">PAGEREF _Toc1038169303 \h</w:instrText>
            </w:r>
            <w:r>
              <w:fldChar w:fldCharType="separate"/>
            </w:r>
            <w:r w:rsidRPr="2FF77C75" w:rsidR="2FF77C75">
              <w:rPr>
                <w:rStyle w:val="Hyperlink"/>
              </w:rPr>
              <w:t>15</w:t>
            </w:r>
            <w:r>
              <w:fldChar w:fldCharType="end"/>
            </w:r>
          </w:hyperlink>
        </w:p>
        <w:p w:rsidR="2FF77C75" w:rsidP="2FF77C75" w:rsidRDefault="2FF77C75" w14:paraId="0E3C0DB1" w14:textId="0A4E5AB2">
          <w:pPr>
            <w:pStyle w:val="TOC3"/>
            <w:tabs>
              <w:tab w:val="right" w:leader="dot" w:pos="9015"/>
            </w:tabs>
            <w:bidi w:val="0"/>
            <w:rPr>
              <w:rStyle w:val="Hyperlink"/>
            </w:rPr>
          </w:pPr>
          <w:hyperlink w:anchor="_Toc170265784">
            <w:r w:rsidRPr="2FF77C75" w:rsidR="2FF77C75">
              <w:rPr>
                <w:rStyle w:val="Hyperlink"/>
              </w:rPr>
              <w:t>Regional Workplace Behaviour Champions</w:t>
            </w:r>
            <w:r>
              <w:tab/>
            </w:r>
            <w:r>
              <w:fldChar w:fldCharType="begin"/>
            </w:r>
            <w:r>
              <w:instrText xml:space="preserve">PAGEREF _Toc170265784 \h</w:instrText>
            </w:r>
            <w:r>
              <w:fldChar w:fldCharType="separate"/>
            </w:r>
            <w:r w:rsidRPr="2FF77C75" w:rsidR="2FF77C75">
              <w:rPr>
                <w:rStyle w:val="Hyperlink"/>
              </w:rPr>
              <w:t>16</w:t>
            </w:r>
            <w:r>
              <w:fldChar w:fldCharType="end"/>
            </w:r>
          </w:hyperlink>
        </w:p>
        <w:p w:rsidR="2FF77C75" w:rsidP="2FF77C75" w:rsidRDefault="2FF77C75" w14:paraId="137F408F" w14:textId="29DA1190">
          <w:pPr>
            <w:pStyle w:val="TOC2"/>
            <w:tabs>
              <w:tab w:val="right" w:leader="dot" w:pos="9015"/>
            </w:tabs>
            <w:bidi w:val="0"/>
            <w:rPr>
              <w:rStyle w:val="Hyperlink"/>
            </w:rPr>
          </w:pPr>
          <w:hyperlink w:anchor="_Toc1596902425">
            <w:r w:rsidRPr="2FF77C75" w:rsidR="2FF77C75">
              <w:rPr>
                <w:rStyle w:val="Hyperlink"/>
              </w:rPr>
              <w:t>Wellbeing and work-related sickness</w:t>
            </w:r>
            <w:r>
              <w:tab/>
            </w:r>
            <w:r>
              <w:fldChar w:fldCharType="begin"/>
            </w:r>
            <w:r>
              <w:instrText xml:space="preserve">PAGEREF _Toc1596902425 \h</w:instrText>
            </w:r>
            <w:r>
              <w:fldChar w:fldCharType="separate"/>
            </w:r>
            <w:r w:rsidRPr="2FF77C75" w:rsidR="2FF77C75">
              <w:rPr>
                <w:rStyle w:val="Hyperlink"/>
              </w:rPr>
              <w:t>17</w:t>
            </w:r>
            <w:r>
              <w:fldChar w:fldCharType="end"/>
            </w:r>
          </w:hyperlink>
        </w:p>
        <w:p w:rsidR="2FF77C75" w:rsidP="2FF77C75" w:rsidRDefault="2FF77C75" w14:paraId="4C21A79F" w14:textId="5639E182">
          <w:pPr>
            <w:pStyle w:val="TOC2"/>
            <w:tabs>
              <w:tab w:val="right" w:leader="dot" w:pos="9015"/>
            </w:tabs>
            <w:bidi w:val="0"/>
            <w:rPr>
              <w:rStyle w:val="Hyperlink"/>
            </w:rPr>
          </w:pPr>
          <w:hyperlink w:anchor="_Toc469185695">
            <w:r w:rsidRPr="2FF77C75" w:rsidR="2FF77C75">
              <w:rPr>
                <w:rStyle w:val="Hyperlink"/>
              </w:rPr>
              <w:t>Burnout</w:t>
            </w:r>
            <w:r>
              <w:tab/>
            </w:r>
            <w:r>
              <w:fldChar w:fldCharType="begin"/>
            </w:r>
            <w:r>
              <w:instrText xml:space="preserve">PAGEREF _Toc469185695 \h</w:instrText>
            </w:r>
            <w:r>
              <w:fldChar w:fldCharType="separate"/>
            </w:r>
            <w:r w:rsidRPr="2FF77C75" w:rsidR="2FF77C75">
              <w:rPr>
                <w:rStyle w:val="Hyperlink"/>
              </w:rPr>
              <w:t>18</w:t>
            </w:r>
            <w:r>
              <w:fldChar w:fldCharType="end"/>
            </w:r>
          </w:hyperlink>
        </w:p>
        <w:p w:rsidR="2FF77C75" w:rsidP="2FF77C75" w:rsidRDefault="2FF77C75" w14:paraId="597887A5" w14:textId="6ACDEDC2">
          <w:pPr>
            <w:pStyle w:val="TOC3"/>
            <w:tabs>
              <w:tab w:val="right" w:leader="dot" w:pos="9015"/>
            </w:tabs>
            <w:bidi w:val="0"/>
            <w:rPr>
              <w:rStyle w:val="Hyperlink"/>
            </w:rPr>
          </w:pPr>
          <w:hyperlink w:anchor="_Toc1408595476">
            <w:r w:rsidRPr="2FF77C75" w:rsidR="2FF77C75">
              <w:rPr>
                <w:rStyle w:val="Hyperlink"/>
              </w:rPr>
              <w:t>Prevalence of Burnout</w:t>
            </w:r>
            <w:r>
              <w:tab/>
            </w:r>
            <w:r>
              <w:fldChar w:fldCharType="begin"/>
            </w:r>
            <w:r>
              <w:instrText xml:space="preserve">PAGEREF _Toc1408595476 \h</w:instrText>
            </w:r>
            <w:r>
              <w:fldChar w:fldCharType="separate"/>
            </w:r>
            <w:r w:rsidRPr="2FF77C75" w:rsidR="2FF77C75">
              <w:rPr>
                <w:rStyle w:val="Hyperlink"/>
              </w:rPr>
              <w:t>18</w:t>
            </w:r>
            <w:r>
              <w:fldChar w:fldCharType="end"/>
            </w:r>
          </w:hyperlink>
        </w:p>
        <w:p w:rsidR="2FF77C75" w:rsidP="2FF77C75" w:rsidRDefault="2FF77C75" w14:paraId="1BD81BA2" w14:textId="570336B4">
          <w:pPr>
            <w:pStyle w:val="TOC3"/>
            <w:tabs>
              <w:tab w:val="right" w:leader="dot" w:pos="9015"/>
            </w:tabs>
            <w:bidi w:val="0"/>
            <w:rPr>
              <w:rStyle w:val="Hyperlink"/>
            </w:rPr>
          </w:pPr>
          <w:hyperlink w:anchor="_Toc1974242195">
            <w:r w:rsidRPr="2FF77C75" w:rsidR="2FF77C75">
              <w:rPr>
                <w:rStyle w:val="Hyperlink"/>
              </w:rPr>
              <w:t>Burnout category by training year</w:t>
            </w:r>
            <w:r>
              <w:tab/>
            </w:r>
            <w:r>
              <w:fldChar w:fldCharType="begin"/>
            </w:r>
            <w:r>
              <w:instrText xml:space="preserve">PAGEREF _Toc1974242195 \h</w:instrText>
            </w:r>
            <w:r>
              <w:fldChar w:fldCharType="separate"/>
            </w:r>
            <w:r w:rsidRPr="2FF77C75" w:rsidR="2FF77C75">
              <w:rPr>
                <w:rStyle w:val="Hyperlink"/>
              </w:rPr>
              <w:t>20</w:t>
            </w:r>
            <w:r>
              <w:fldChar w:fldCharType="end"/>
            </w:r>
          </w:hyperlink>
        </w:p>
        <w:p w:rsidR="2FF77C75" w:rsidP="2FF77C75" w:rsidRDefault="2FF77C75" w14:paraId="50030747" w14:textId="0612FAD8">
          <w:pPr>
            <w:pStyle w:val="TOC2"/>
            <w:tabs>
              <w:tab w:val="right" w:leader="dot" w:pos="9015"/>
            </w:tabs>
            <w:bidi w:val="0"/>
            <w:rPr>
              <w:rStyle w:val="Hyperlink"/>
            </w:rPr>
          </w:pPr>
          <w:hyperlink w:anchor="_Toc1194527883">
            <w:r w:rsidRPr="2FF77C75" w:rsidR="2FF77C75">
              <w:rPr>
                <w:rStyle w:val="Hyperlink"/>
              </w:rPr>
              <w:t>Burnout and associated work-related factors</w:t>
            </w:r>
            <w:r>
              <w:tab/>
            </w:r>
            <w:r>
              <w:fldChar w:fldCharType="begin"/>
            </w:r>
            <w:r>
              <w:instrText xml:space="preserve">PAGEREF _Toc1194527883 \h</w:instrText>
            </w:r>
            <w:r>
              <w:fldChar w:fldCharType="separate"/>
            </w:r>
            <w:r w:rsidRPr="2FF77C75" w:rsidR="2FF77C75">
              <w:rPr>
                <w:rStyle w:val="Hyperlink"/>
              </w:rPr>
              <w:t>21</w:t>
            </w:r>
            <w:r>
              <w:fldChar w:fldCharType="end"/>
            </w:r>
          </w:hyperlink>
        </w:p>
        <w:p w:rsidR="2FF77C75" w:rsidP="2FF77C75" w:rsidRDefault="2FF77C75" w14:paraId="4137EFB9" w14:textId="0B7894C0">
          <w:pPr>
            <w:pStyle w:val="TOC3"/>
            <w:tabs>
              <w:tab w:val="right" w:leader="dot" w:pos="9015"/>
            </w:tabs>
            <w:bidi w:val="0"/>
            <w:rPr>
              <w:rStyle w:val="Hyperlink"/>
            </w:rPr>
          </w:pPr>
          <w:hyperlink w:anchor="_Toc482548425">
            <w:r w:rsidRPr="2FF77C75" w:rsidR="2FF77C75">
              <w:rPr>
                <w:rStyle w:val="Hyperlink"/>
              </w:rPr>
              <w:t>Sickness Absence</w:t>
            </w:r>
            <w:r>
              <w:tab/>
            </w:r>
            <w:r>
              <w:fldChar w:fldCharType="begin"/>
            </w:r>
            <w:r>
              <w:instrText xml:space="preserve">PAGEREF _Toc482548425 \h</w:instrText>
            </w:r>
            <w:r>
              <w:fldChar w:fldCharType="separate"/>
            </w:r>
            <w:r w:rsidRPr="2FF77C75" w:rsidR="2FF77C75">
              <w:rPr>
                <w:rStyle w:val="Hyperlink"/>
              </w:rPr>
              <w:t>21</w:t>
            </w:r>
            <w:r>
              <w:fldChar w:fldCharType="end"/>
            </w:r>
          </w:hyperlink>
        </w:p>
        <w:p w:rsidR="2FF77C75" w:rsidP="2FF77C75" w:rsidRDefault="2FF77C75" w14:paraId="1DA96ADB" w14:textId="27FC54A6">
          <w:pPr>
            <w:pStyle w:val="TOC3"/>
            <w:tabs>
              <w:tab w:val="right" w:leader="dot" w:pos="9015"/>
            </w:tabs>
            <w:bidi w:val="0"/>
            <w:rPr>
              <w:rStyle w:val="Hyperlink"/>
            </w:rPr>
          </w:pPr>
          <w:hyperlink w:anchor="_Toc584763263">
            <w:r w:rsidRPr="2FF77C75" w:rsidR="2FF77C75">
              <w:rPr>
                <w:rStyle w:val="Hyperlink"/>
              </w:rPr>
              <w:t>Consideration of Leaving the Specialty</w:t>
            </w:r>
            <w:r>
              <w:tab/>
            </w:r>
            <w:r>
              <w:fldChar w:fldCharType="begin"/>
            </w:r>
            <w:r>
              <w:instrText xml:space="preserve">PAGEREF _Toc584763263 \h</w:instrText>
            </w:r>
            <w:r>
              <w:fldChar w:fldCharType="separate"/>
            </w:r>
            <w:r w:rsidRPr="2FF77C75" w:rsidR="2FF77C75">
              <w:rPr>
                <w:rStyle w:val="Hyperlink"/>
              </w:rPr>
              <w:t>21</w:t>
            </w:r>
            <w:r>
              <w:fldChar w:fldCharType="end"/>
            </w:r>
          </w:hyperlink>
        </w:p>
        <w:p w:rsidR="2FF77C75" w:rsidP="2FF77C75" w:rsidRDefault="2FF77C75" w14:paraId="143409B8" w14:textId="6D7E4369">
          <w:pPr>
            <w:pStyle w:val="TOC3"/>
            <w:tabs>
              <w:tab w:val="right" w:leader="dot" w:pos="9015"/>
            </w:tabs>
            <w:bidi w:val="0"/>
            <w:rPr>
              <w:rStyle w:val="Hyperlink"/>
            </w:rPr>
          </w:pPr>
          <w:hyperlink w:anchor="_Toc2114938847">
            <w:r w:rsidRPr="2FF77C75" w:rsidR="2FF77C75">
              <w:rPr>
                <w:rStyle w:val="Hyperlink"/>
              </w:rPr>
              <w:t>Sense of Belonging and Feeling Valued</w:t>
            </w:r>
            <w:r>
              <w:tab/>
            </w:r>
            <w:r>
              <w:fldChar w:fldCharType="begin"/>
            </w:r>
            <w:r>
              <w:instrText xml:space="preserve">PAGEREF _Toc2114938847 \h</w:instrText>
            </w:r>
            <w:r>
              <w:fldChar w:fldCharType="separate"/>
            </w:r>
            <w:r w:rsidRPr="2FF77C75" w:rsidR="2FF77C75">
              <w:rPr>
                <w:rStyle w:val="Hyperlink"/>
              </w:rPr>
              <w:t>22</w:t>
            </w:r>
            <w:r>
              <w:fldChar w:fldCharType="end"/>
            </w:r>
          </w:hyperlink>
        </w:p>
        <w:p w:rsidR="2FF77C75" w:rsidP="2FF77C75" w:rsidRDefault="2FF77C75" w14:paraId="1F762C05" w14:textId="0AADBB6E">
          <w:pPr>
            <w:pStyle w:val="TOC3"/>
            <w:tabs>
              <w:tab w:val="right" w:leader="dot" w:pos="9015"/>
            </w:tabs>
            <w:bidi w:val="0"/>
            <w:rPr>
              <w:rStyle w:val="Hyperlink"/>
            </w:rPr>
          </w:pPr>
          <w:hyperlink w:anchor="_Toc1446211943">
            <w:r w:rsidRPr="2FF77C75" w:rsidR="2FF77C75">
              <w:rPr>
                <w:rStyle w:val="Hyperlink"/>
              </w:rPr>
              <w:t>Recognition of Positive Behaviours</w:t>
            </w:r>
            <w:r>
              <w:tab/>
            </w:r>
            <w:r>
              <w:fldChar w:fldCharType="begin"/>
            </w:r>
            <w:r>
              <w:instrText xml:space="preserve">PAGEREF _Toc1446211943 \h</w:instrText>
            </w:r>
            <w:r>
              <w:fldChar w:fldCharType="separate"/>
            </w:r>
            <w:r w:rsidRPr="2FF77C75" w:rsidR="2FF77C75">
              <w:rPr>
                <w:rStyle w:val="Hyperlink"/>
              </w:rPr>
              <w:t>23</w:t>
            </w:r>
            <w:r>
              <w:fldChar w:fldCharType="end"/>
            </w:r>
          </w:hyperlink>
        </w:p>
        <w:p w:rsidR="2FF77C75" w:rsidP="2FF77C75" w:rsidRDefault="2FF77C75" w14:paraId="29AF9929" w14:textId="6313101F">
          <w:pPr>
            <w:pStyle w:val="TOC3"/>
            <w:tabs>
              <w:tab w:val="right" w:leader="dot" w:pos="9015"/>
            </w:tabs>
            <w:bidi w:val="0"/>
            <w:rPr>
              <w:rStyle w:val="Hyperlink"/>
            </w:rPr>
          </w:pPr>
          <w:hyperlink w:anchor="_Toc1836307057">
            <w:r w:rsidRPr="2FF77C75" w:rsidR="2FF77C75">
              <w:rPr>
                <w:rStyle w:val="Hyperlink"/>
              </w:rPr>
              <w:t>Sexual harassment/ inappropriate sexual behaviours</w:t>
            </w:r>
            <w:r>
              <w:tab/>
            </w:r>
            <w:r>
              <w:fldChar w:fldCharType="begin"/>
            </w:r>
            <w:r>
              <w:instrText xml:space="preserve">PAGEREF _Toc1836307057 \h</w:instrText>
            </w:r>
            <w:r>
              <w:fldChar w:fldCharType="separate"/>
            </w:r>
            <w:r w:rsidRPr="2FF77C75" w:rsidR="2FF77C75">
              <w:rPr>
                <w:rStyle w:val="Hyperlink"/>
              </w:rPr>
              <w:t>23</w:t>
            </w:r>
            <w:r>
              <w:fldChar w:fldCharType="end"/>
            </w:r>
          </w:hyperlink>
        </w:p>
        <w:p w:rsidR="2FF77C75" w:rsidP="2FF77C75" w:rsidRDefault="2FF77C75" w14:paraId="5F288C59" w14:textId="461D51CC">
          <w:pPr>
            <w:pStyle w:val="TOC3"/>
            <w:tabs>
              <w:tab w:val="right" w:leader="dot" w:pos="9015"/>
            </w:tabs>
            <w:bidi w:val="0"/>
            <w:rPr>
              <w:rStyle w:val="Hyperlink"/>
            </w:rPr>
          </w:pPr>
          <w:hyperlink w:anchor="_Toc98780523">
            <w:r w:rsidRPr="2FF77C75" w:rsidR="2FF77C75">
              <w:rPr>
                <w:rStyle w:val="Hyperlink"/>
              </w:rPr>
              <w:t>Undermining Behaviour</w:t>
            </w:r>
            <w:r>
              <w:tab/>
            </w:r>
            <w:r>
              <w:fldChar w:fldCharType="begin"/>
            </w:r>
            <w:r>
              <w:instrText xml:space="preserve">PAGEREF _Toc98780523 \h</w:instrText>
            </w:r>
            <w:r>
              <w:fldChar w:fldCharType="separate"/>
            </w:r>
            <w:r w:rsidRPr="2FF77C75" w:rsidR="2FF77C75">
              <w:rPr>
                <w:rStyle w:val="Hyperlink"/>
              </w:rPr>
              <w:t>24</w:t>
            </w:r>
            <w:r>
              <w:fldChar w:fldCharType="end"/>
            </w:r>
          </w:hyperlink>
        </w:p>
        <w:p w:rsidR="2FF77C75" w:rsidP="2FF77C75" w:rsidRDefault="2FF77C75" w14:paraId="38151FD1" w14:textId="25C9F6A8">
          <w:pPr>
            <w:pStyle w:val="TOC3"/>
            <w:tabs>
              <w:tab w:val="right" w:leader="dot" w:pos="9015"/>
            </w:tabs>
            <w:bidi w:val="0"/>
            <w:rPr>
              <w:rStyle w:val="Hyperlink"/>
            </w:rPr>
          </w:pPr>
          <w:hyperlink w:anchor="_Toc1695414213">
            <w:r w:rsidRPr="2FF77C75" w:rsidR="2FF77C75">
              <w:rPr>
                <w:rStyle w:val="Hyperlink"/>
              </w:rPr>
              <w:t>Perceptions of Leadership</w:t>
            </w:r>
            <w:r>
              <w:tab/>
            </w:r>
            <w:r>
              <w:fldChar w:fldCharType="begin"/>
            </w:r>
            <w:r>
              <w:instrText xml:space="preserve">PAGEREF _Toc1695414213 \h</w:instrText>
            </w:r>
            <w:r>
              <w:fldChar w:fldCharType="separate"/>
            </w:r>
            <w:r w:rsidRPr="2FF77C75" w:rsidR="2FF77C75">
              <w:rPr>
                <w:rStyle w:val="Hyperlink"/>
              </w:rPr>
              <w:t>24</w:t>
            </w:r>
            <w:r>
              <w:fldChar w:fldCharType="end"/>
            </w:r>
          </w:hyperlink>
        </w:p>
        <w:p w:rsidR="2FF77C75" w:rsidP="2FF77C75" w:rsidRDefault="2FF77C75" w14:paraId="00D7728F" w14:textId="1EA72EB7">
          <w:pPr>
            <w:pStyle w:val="TOC3"/>
            <w:tabs>
              <w:tab w:val="right" w:leader="dot" w:pos="9015"/>
            </w:tabs>
            <w:bidi w:val="0"/>
            <w:rPr>
              <w:rStyle w:val="Hyperlink"/>
            </w:rPr>
          </w:pPr>
          <w:hyperlink w:anchor="_Toc234836438">
            <w:r w:rsidRPr="2FF77C75" w:rsidR="2FF77C75">
              <w:rPr>
                <w:rStyle w:val="Hyperlink"/>
              </w:rPr>
              <w:t>Workload and Learning Needs</w:t>
            </w:r>
            <w:r>
              <w:tab/>
            </w:r>
            <w:r>
              <w:fldChar w:fldCharType="begin"/>
            </w:r>
            <w:r>
              <w:instrText xml:space="preserve">PAGEREF _Toc234836438 \h</w:instrText>
            </w:r>
            <w:r>
              <w:fldChar w:fldCharType="separate"/>
            </w:r>
            <w:r w:rsidRPr="2FF77C75" w:rsidR="2FF77C75">
              <w:rPr>
                <w:rStyle w:val="Hyperlink"/>
              </w:rPr>
              <w:t>25</w:t>
            </w:r>
            <w:r>
              <w:fldChar w:fldCharType="end"/>
            </w:r>
          </w:hyperlink>
        </w:p>
        <w:p w:rsidR="2FF77C75" w:rsidP="2FF77C75" w:rsidRDefault="2FF77C75" w14:paraId="3DE0A3A1" w14:textId="14BDB7D6">
          <w:pPr>
            <w:pStyle w:val="TOC3"/>
            <w:tabs>
              <w:tab w:val="right" w:leader="dot" w:pos="9015"/>
            </w:tabs>
            <w:bidi w:val="0"/>
            <w:rPr>
              <w:rStyle w:val="Hyperlink"/>
            </w:rPr>
          </w:pPr>
          <w:hyperlink w:anchor="_Toc1474818818">
            <w:r w:rsidRPr="2FF77C75" w:rsidR="2FF77C75">
              <w:rPr>
                <w:rStyle w:val="Hyperlink"/>
              </w:rPr>
              <w:t>Rota Gaps</w:t>
            </w:r>
            <w:r>
              <w:tab/>
            </w:r>
            <w:r>
              <w:fldChar w:fldCharType="begin"/>
            </w:r>
            <w:r>
              <w:instrText xml:space="preserve">PAGEREF _Toc1474818818 \h</w:instrText>
            </w:r>
            <w:r>
              <w:fldChar w:fldCharType="separate"/>
            </w:r>
            <w:r w:rsidRPr="2FF77C75" w:rsidR="2FF77C75">
              <w:rPr>
                <w:rStyle w:val="Hyperlink"/>
              </w:rPr>
              <w:t>25</w:t>
            </w:r>
            <w:r>
              <w:fldChar w:fldCharType="end"/>
            </w:r>
          </w:hyperlink>
        </w:p>
        <w:p w:rsidR="2FF77C75" w:rsidP="2FF77C75" w:rsidRDefault="2FF77C75" w14:paraId="7BD23B11" w14:textId="6385BCE2">
          <w:pPr>
            <w:pStyle w:val="TOC1"/>
            <w:tabs>
              <w:tab w:val="right" w:leader="dot" w:pos="9015"/>
            </w:tabs>
            <w:bidi w:val="0"/>
            <w:rPr>
              <w:rStyle w:val="Hyperlink"/>
            </w:rPr>
          </w:pPr>
          <w:hyperlink w:anchor="_Toc1580508357">
            <w:r w:rsidRPr="2FF77C75" w:rsidR="2FF77C75">
              <w:rPr>
                <w:rStyle w:val="Hyperlink"/>
              </w:rPr>
              <w:t>Conclusion</w:t>
            </w:r>
            <w:r>
              <w:tab/>
            </w:r>
            <w:r>
              <w:fldChar w:fldCharType="begin"/>
            </w:r>
            <w:r>
              <w:instrText xml:space="preserve">PAGEREF _Toc1580508357 \h</w:instrText>
            </w:r>
            <w:r>
              <w:fldChar w:fldCharType="separate"/>
            </w:r>
            <w:r w:rsidRPr="2FF77C75" w:rsidR="2FF77C75">
              <w:rPr>
                <w:rStyle w:val="Hyperlink"/>
              </w:rPr>
              <w:t>26</w:t>
            </w:r>
            <w:r>
              <w:fldChar w:fldCharType="end"/>
            </w:r>
          </w:hyperlink>
        </w:p>
        <w:p w:rsidR="2FF77C75" w:rsidP="2FF77C75" w:rsidRDefault="2FF77C75" w14:paraId="4BF6AC7E" w14:textId="6C63E046">
          <w:pPr>
            <w:pStyle w:val="TOC1"/>
            <w:tabs>
              <w:tab w:val="right" w:leader="dot" w:pos="9015"/>
            </w:tabs>
            <w:bidi w:val="0"/>
            <w:rPr>
              <w:rStyle w:val="Hyperlink"/>
            </w:rPr>
          </w:pPr>
          <w:hyperlink w:anchor="_Toc2078318413">
            <w:r w:rsidRPr="2FF77C75" w:rsidR="2FF77C75">
              <w:rPr>
                <w:rStyle w:val="Hyperlink"/>
              </w:rPr>
              <w:t>Limitations</w:t>
            </w:r>
            <w:r>
              <w:tab/>
            </w:r>
            <w:r>
              <w:fldChar w:fldCharType="begin"/>
            </w:r>
            <w:r>
              <w:instrText xml:space="preserve">PAGEREF _Toc2078318413 \h</w:instrText>
            </w:r>
            <w:r>
              <w:fldChar w:fldCharType="separate"/>
            </w:r>
            <w:r w:rsidRPr="2FF77C75" w:rsidR="2FF77C75">
              <w:rPr>
                <w:rStyle w:val="Hyperlink"/>
              </w:rPr>
              <w:t>26</w:t>
            </w:r>
            <w:r>
              <w:fldChar w:fldCharType="end"/>
            </w:r>
          </w:hyperlink>
        </w:p>
        <w:p w:rsidR="2FF77C75" w:rsidP="2FF77C75" w:rsidRDefault="2FF77C75" w14:paraId="76DDA449" w14:textId="1893460C">
          <w:pPr>
            <w:pStyle w:val="TOC1"/>
            <w:tabs>
              <w:tab w:val="right" w:leader="dot" w:pos="9015"/>
            </w:tabs>
            <w:bidi w:val="0"/>
            <w:rPr>
              <w:rStyle w:val="Hyperlink"/>
            </w:rPr>
          </w:pPr>
          <w:hyperlink w:anchor="_Toc741730208">
            <w:r w:rsidRPr="2FF77C75" w:rsidR="2FF77C75">
              <w:rPr>
                <w:rStyle w:val="Hyperlink"/>
              </w:rPr>
              <w:t>Recommendations</w:t>
            </w:r>
            <w:r>
              <w:tab/>
            </w:r>
            <w:r>
              <w:fldChar w:fldCharType="begin"/>
            </w:r>
            <w:r>
              <w:instrText xml:space="preserve">PAGEREF _Toc741730208 \h</w:instrText>
            </w:r>
            <w:r>
              <w:fldChar w:fldCharType="separate"/>
            </w:r>
            <w:r w:rsidRPr="2FF77C75" w:rsidR="2FF77C75">
              <w:rPr>
                <w:rStyle w:val="Hyperlink"/>
              </w:rPr>
              <w:t>26</w:t>
            </w:r>
            <w:r>
              <w:fldChar w:fldCharType="end"/>
            </w:r>
          </w:hyperlink>
        </w:p>
        <w:p w:rsidR="2FF77C75" w:rsidP="2FF77C75" w:rsidRDefault="2FF77C75" w14:paraId="632EF987" w14:textId="24CF1D29">
          <w:pPr>
            <w:pStyle w:val="TOC1"/>
            <w:tabs>
              <w:tab w:val="right" w:leader="dot" w:pos="9015"/>
            </w:tabs>
            <w:bidi w:val="0"/>
            <w:rPr>
              <w:rStyle w:val="Hyperlink"/>
            </w:rPr>
          </w:pPr>
          <w:hyperlink w:anchor="_Toc34980071">
            <w:r w:rsidRPr="2FF77C75" w:rsidR="2FF77C75">
              <w:rPr>
                <w:rStyle w:val="Hyperlink"/>
              </w:rPr>
              <w:t>References</w:t>
            </w:r>
            <w:r>
              <w:tab/>
            </w:r>
            <w:r>
              <w:fldChar w:fldCharType="begin"/>
            </w:r>
            <w:r>
              <w:instrText xml:space="preserve">PAGEREF _Toc34980071 \h</w:instrText>
            </w:r>
            <w:r>
              <w:fldChar w:fldCharType="separate"/>
            </w:r>
            <w:r w:rsidRPr="2FF77C75" w:rsidR="2FF77C75">
              <w:rPr>
                <w:rStyle w:val="Hyperlink"/>
              </w:rPr>
              <w:t>28</w:t>
            </w:r>
            <w:r>
              <w:fldChar w:fldCharType="end"/>
            </w:r>
          </w:hyperlink>
        </w:p>
        <w:p w:rsidR="2FF77C75" w:rsidP="2FF77C75" w:rsidRDefault="2FF77C75" w14:paraId="1332F0BB" w14:textId="566B8065">
          <w:pPr>
            <w:pStyle w:val="TOC1"/>
            <w:tabs>
              <w:tab w:val="right" w:leader="dot" w:pos="9015"/>
            </w:tabs>
            <w:bidi w:val="0"/>
            <w:rPr>
              <w:rStyle w:val="Hyperlink"/>
            </w:rPr>
          </w:pPr>
          <w:hyperlink w:anchor="_Toc1658025101">
            <w:r w:rsidRPr="2FF77C75" w:rsidR="2FF77C75">
              <w:rPr>
                <w:rStyle w:val="Hyperlink"/>
              </w:rPr>
              <w:t>Appendix A</w:t>
            </w:r>
            <w:r>
              <w:tab/>
            </w:r>
            <w:r>
              <w:fldChar w:fldCharType="begin"/>
            </w:r>
            <w:r>
              <w:instrText xml:space="preserve">PAGEREF _Toc1658025101 \h</w:instrText>
            </w:r>
            <w:r>
              <w:fldChar w:fldCharType="separate"/>
            </w:r>
            <w:r w:rsidRPr="2FF77C75" w:rsidR="2FF77C75">
              <w:rPr>
                <w:rStyle w:val="Hyperlink"/>
              </w:rPr>
              <w:t>28</w:t>
            </w:r>
            <w:r>
              <w:fldChar w:fldCharType="end"/>
            </w:r>
          </w:hyperlink>
        </w:p>
        <w:p w:rsidR="2FF77C75" w:rsidP="2FF77C75" w:rsidRDefault="2FF77C75" w14:paraId="4FFEFD2B" w14:textId="01744C1F">
          <w:pPr>
            <w:pStyle w:val="TOC3"/>
            <w:tabs>
              <w:tab w:val="right" w:leader="dot" w:pos="9015"/>
            </w:tabs>
            <w:bidi w:val="0"/>
            <w:rPr>
              <w:rStyle w:val="Hyperlink"/>
            </w:rPr>
          </w:pPr>
          <w:hyperlink w:anchor="_Toc151104382">
            <w:r w:rsidRPr="2FF77C75" w:rsidR="2FF77C75">
              <w:rPr>
                <w:rStyle w:val="Hyperlink"/>
              </w:rPr>
              <w:t>Placement Recommendation 23.1.2</w:t>
            </w:r>
            <w:r>
              <w:tab/>
            </w:r>
            <w:r>
              <w:fldChar w:fldCharType="begin"/>
            </w:r>
            <w:r>
              <w:instrText xml:space="preserve">PAGEREF _Toc151104382 \h</w:instrText>
            </w:r>
            <w:r>
              <w:fldChar w:fldCharType="separate"/>
            </w:r>
            <w:r w:rsidRPr="2FF77C75" w:rsidR="2FF77C75">
              <w:rPr>
                <w:rStyle w:val="Hyperlink"/>
              </w:rPr>
              <w:t>28</w:t>
            </w:r>
            <w:r>
              <w:fldChar w:fldCharType="end"/>
            </w:r>
          </w:hyperlink>
        </w:p>
        <w:p w:rsidR="2FF77C75" w:rsidP="2FF77C75" w:rsidRDefault="2FF77C75" w14:paraId="3CE5F9FB" w14:textId="4C792273">
          <w:pPr>
            <w:pStyle w:val="TOC3"/>
            <w:tabs>
              <w:tab w:val="right" w:leader="dot" w:pos="9015"/>
            </w:tabs>
            <w:bidi w:val="0"/>
            <w:rPr>
              <w:rStyle w:val="Hyperlink"/>
            </w:rPr>
          </w:pPr>
          <w:hyperlink w:anchor="_Toc319017170">
            <w:r w:rsidRPr="2FF77C75" w:rsidR="2FF77C75">
              <w:rPr>
                <w:rStyle w:val="Hyperlink"/>
              </w:rPr>
              <w:t>Enjoyment of Placement</w:t>
            </w:r>
            <w:r>
              <w:tab/>
            </w:r>
            <w:r>
              <w:fldChar w:fldCharType="begin"/>
            </w:r>
            <w:r>
              <w:instrText xml:space="preserve">PAGEREF _Toc319017170 \h</w:instrText>
            </w:r>
            <w:r>
              <w:fldChar w:fldCharType="separate"/>
            </w:r>
            <w:r w:rsidRPr="2FF77C75" w:rsidR="2FF77C75">
              <w:rPr>
                <w:rStyle w:val="Hyperlink"/>
              </w:rPr>
              <w:t>29</w:t>
            </w:r>
            <w:r>
              <w:fldChar w:fldCharType="end"/>
            </w:r>
          </w:hyperlink>
        </w:p>
        <w:p w:rsidR="2FF77C75" w:rsidP="2FF77C75" w:rsidRDefault="2FF77C75" w14:paraId="54D8C8ED" w14:textId="44A9EC11">
          <w:pPr>
            <w:pStyle w:val="TOC1"/>
            <w:tabs>
              <w:tab w:val="right" w:leader="dot" w:pos="9015"/>
            </w:tabs>
            <w:bidi w:val="0"/>
            <w:rPr>
              <w:rStyle w:val="Hyperlink"/>
            </w:rPr>
          </w:pPr>
          <w:hyperlink w:anchor="_Toc1363066426">
            <w:r w:rsidRPr="2FF77C75" w:rsidR="2FF77C75">
              <w:rPr>
                <w:rStyle w:val="Hyperlink"/>
              </w:rPr>
              <w:t>Appendix B</w:t>
            </w:r>
            <w:r>
              <w:tab/>
            </w:r>
            <w:r>
              <w:fldChar w:fldCharType="begin"/>
            </w:r>
            <w:r>
              <w:instrText xml:space="preserve">PAGEREF _Toc1363066426 \h</w:instrText>
            </w:r>
            <w:r>
              <w:fldChar w:fldCharType="separate"/>
            </w:r>
            <w:r w:rsidRPr="2FF77C75" w:rsidR="2FF77C75">
              <w:rPr>
                <w:rStyle w:val="Hyperlink"/>
              </w:rPr>
              <w:t>30</w:t>
            </w:r>
            <w:r>
              <w:fldChar w:fldCharType="end"/>
            </w:r>
          </w:hyperlink>
        </w:p>
        <w:p w:rsidR="2FF77C75" w:rsidP="2FF77C75" w:rsidRDefault="2FF77C75" w14:paraId="3A2F49D8" w14:textId="640933A1">
          <w:pPr>
            <w:pStyle w:val="TOC1"/>
            <w:tabs>
              <w:tab w:val="right" w:leader="dot" w:pos="9015"/>
            </w:tabs>
            <w:bidi w:val="0"/>
            <w:rPr>
              <w:rStyle w:val="Hyperlink"/>
            </w:rPr>
          </w:pPr>
          <w:hyperlink w:anchor="_Toc1632105946">
            <w:r w:rsidRPr="2FF77C75" w:rsidR="2FF77C75">
              <w:rPr>
                <w:rStyle w:val="Hyperlink"/>
              </w:rPr>
              <w:t>Appendix C</w:t>
            </w:r>
            <w:r>
              <w:tab/>
            </w:r>
            <w:r>
              <w:fldChar w:fldCharType="begin"/>
            </w:r>
            <w:r>
              <w:instrText xml:space="preserve">PAGEREF _Toc1632105946 \h</w:instrText>
            </w:r>
            <w:r>
              <w:fldChar w:fldCharType="separate"/>
            </w:r>
            <w:r w:rsidRPr="2FF77C75" w:rsidR="2FF77C75">
              <w:rPr>
                <w:rStyle w:val="Hyperlink"/>
              </w:rPr>
              <w:t>30</w:t>
            </w:r>
            <w:r>
              <w:fldChar w:fldCharType="end"/>
            </w:r>
          </w:hyperlink>
          <w:r>
            <w:fldChar w:fldCharType="end"/>
          </w:r>
        </w:p>
      </w:sdtContent>
    </w:sdt>
    <w:p w:rsidR="2FF77C75" w:rsidP="2FF77C75" w:rsidRDefault="2FF77C75" w14:paraId="2815987F" w14:textId="78158800">
      <w:pPr>
        <w:spacing w:line="276" w:lineRule="auto"/>
        <w:rPr>
          <w:lang w:eastAsia="en-GB"/>
        </w:rPr>
      </w:pPr>
    </w:p>
    <w:p w:rsidRPr="00F05E51" w:rsidR="00F05E51" w:rsidP="00F05E51" w:rsidRDefault="00F05E51" w14:paraId="5BA7E6F9"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5354C88E"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769ED137"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45CD1ED2"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6924313C" w14:textId="77777777">
      <w:pPr>
        <w:spacing w:line="276" w:lineRule="auto"/>
        <w:rPr>
          <w:lang w:eastAsia="en-GB"/>
        </w:rPr>
      </w:pPr>
      <w:r w:rsidRPr="00F05E51">
        <w:rPr>
          <w:b/>
          <w:bCs/>
          <w:u w:val="single"/>
          <w:lang w:eastAsia="en-GB"/>
        </w:rPr>
        <w:t>​</w:t>
      </w:r>
      <w:r w:rsidRPr="00F05E51">
        <w:rPr>
          <w:lang w:eastAsia="en-GB"/>
        </w:rPr>
        <w:t> </w:t>
      </w:r>
    </w:p>
    <w:p w:rsidRPr="00F05E51" w:rsidR="00F05E51" w:rsidP="00F05E51" w:rsidRDefault="00F05E51" w14:paraId="2C81A78F" w14:textId="77777777">
      <w:pPr>
        <w:spacing w:line="276" w:lineRule="auto"/>
        <w:rPr>
          <w:lang w:eastAsia="en-GB"/>
        </w:rPr>
      </w:pPr>
      <w:r w:rsidRPr="00F05E51">
        <w:rPr>
          <w:b/>
          <w:bCs/>
          <w:u w:val="single"/>
          <w:lang w:eastAsia="en-GB"/>
        </w:rPr>
        <w:t>​</w:t>
      </w:r>
      <w:r w:rsidRPr="00F05E51">
        <w:rPr>
          <w:lang w:eastAsia="en-GB"/>
        </w:rPr>
        <w:t> </w:t>
      </w:r>
    </w:p>
    <w:p w:rsidRPr="00F05E51" w:rsidR="00F05E51" w:rsidP="00F05E51" w:rsidRDefault="00F05E51" w14:paraId="0505EDD9"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4F824997"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544E02B1"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4FCA1C2A"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17A74543"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0718D231" w14:textId="77777777">
      <w:pPr>
        <w:spacing w:line="276" w:lineRule="auto"/>
        <w:rPr>
          <w:lang w:eastAsia="en-GB"/>
        </w:rPr>
      </w:pPr>
      <w:r w:rsidRPr="00F05E51">
        <w:rPr>
          <w:u w:val="single"/>
          <w:lang w:eastAsia="en-GB"/>
        </w:rPr>
        <w:t>​</w:t>
      </w:r>
      <w:r w:rsidRPr="00F05E51">
        <w:rPr>
          <w:lang w:eastAsia="en-GB"/>
        </w:rPr>
        <w:t> </w:t>
      </w:r>
    </w:p>
    <w:p w:rsidRPr="00F05E51" w:rsidR="00F05E51" w:rsidP="00F05E51" w:rsidRDefault="00F05E51" w14:paraId="5E4453C7" w14:textId="77777777">
      <w:pPr>
        <w:spacing w:line="276" w:lineRule="auto"/>
        <w:rPr>
          <w:lang w:eastAsia="en-GB"/>
        </w:rPr>
      </w:pPr>
      <w:r w:rsidRPr="00F05E51">
        <w:rPr>
          <w:b/>
          <w:bCs/>
          <w:u w:val="single"/>
          <w:lang w:eastAsia="en-GB"/>
        </w:rPr>
        <w:t>​</w:t>
      </w:r>
      <w:r w:rsidRPr="00F05E51">
        <w:rPr>
          <w:lang w:eastAsia="en-GB"/>
        </w:rPr>
        <w:t> </w:t>
      </w:r>
    </w:p>
    <w:p w:rsidRPr="00F05E51" w:rsidR="00F05E51" w:rsidP="00F05E51" w:rsidRDefault="00F05E51" w14:paraId="7E4ED90C" w14:textId="77777777">
      <w:pPr>
        <w:spacing w:line="276" w:lineRule="auto"/>
        <w:rPr>
          <w:lang w:eastAsia="en-GB"/>
        </w:rPr>
      </w:pPr>
      <w:r w:rsidRPr="00F05E51">
        <w:rPr>
          <w:u w:val="single"/>
          <w:lang w:eastAsia="en-GB"/>
        </w:rPr>
        <w:t>​</w:t>
      </w:r>
      <w:r w:rsidRPr="00F05E51">
        <w:rPr>
          <w:lang w:eastAsia="en-GB"/>
        </w:rPr>
        <w:t> </w:t>
      </w:r>
    </w:p>
    <w:p w:rsidR="003C3095" w:rsidP="2FF77C75" w:rsidRDefault="003C3095" w14:paraId="633020D0" w14:textId="0D71C5CD">
      <w:pPr>
        <w:spacing w:line="276" w:lineRule="auto"/>
        <w:rPr>
          <w:lang w:eastAsia="en-GB"/>
        </w:rPr>
      </w:pPr>
      <w:r w:rsidRPr="2FF77C75" w:rsidR="00F05E51">
        <w:rPr>
          <w:u w:val="single"/>
          <w:lang w:eastAsia="en-GB"/>
        </w:rPr>
        <w:t>​</w:t>
      </w:r>
      <w:r w:rsidRPr="2FF77C75" w:rsidR="00F05E51">
        <w:rPr>
          <w:lang w:eastAsia="en-GB"/>
        </w:rPr>
        <w:t> </w:t>
      </w:r>
    </w:p>
    <w:p w:rsidR="003C3095" w:rsidP="2FF77C75" w:rsidRDefault="003C3095" w14:paraId="7C316F7C" w14:textId="2A3B1639">
      <w:pPr>
        <w:pStyle w:val="Normal"/>
        <w:spacing w:line="257" w:lineRule="auto"/>
        <w:rPr>
          <w:rFonts w:ascii="Calibri" w:hAnsi="Calibri" w:eastAsia="Calibri" w:cs="Calibri"/>
          <w:color w:val="002060"/>
          <w:sz w:val="48"/>
          <w:szCs w:val="48"/>
        </w:rPr>
      </w:pPr>
      <w:r w:rsidRPr="2FF77C75" w:rsidR="003C3095">
        <w:rPr>
          <w:rFonts w:ascii="Calibri" w:hAnsi="Calibri" w:eastAsia="Calibri" w:cs="Calibri"/>
          <w:b w:val="1"/>
          <w:bCs w:val="1"/>
          <w:color w:val="002060"/>
          <w:sz w:val="48"/>
          <w:szCs w:val="48"/>
        </w:rPr>
        <w:t xml:space="preserve">Wellbeing and Burnout </w:t>
      </w:r>
    </w:p>
    <w:p w:rsidR="003C3095" w:rsidP="003C3095" w:rsidRDefault="003C3095" w14:paraId="0F8EE4E1" w14:textId="77777777">
      <w:pPr>
        <w:spacing w:line="257" w:lineRule="auto"/>
        <w:rPr>
          <w:rFonts w:ascii="Calibri" w:hAnsi="Calibri" w:eastAsia="Calibri" w:cs="Calibri"/>
          <w:color w:val="000000" w:themeColor="text1"/>
          <w:sz w:val="24"/>
          <w:szCs w:val="24"/>
        </w:rPr>
      </w:pPr>
      <w:r w:rsidRPr="003C3095">
        <w:rPr>
          <w:rFonts w:ascii="Calibri" w:hAnsi="Calibri" w:eastAsia="Calibri" w:cs="Calibri"/>
          <w:b/>
          <w:bCs/>
          <w:color w:val="000000" w:themeColor="text1"/>
          <w:sz w:val="24"/>
          <w:szCs w:val="24"/>
        </w:rPr>
        <w:t>Authors:</w:t>
      </w:r>
      <w:r w:rsidRPr="3A232ED9">
        <w:rPr>
          <w:rFonts w:ascii="Calibri" w:hAnsi="Calibri" w:eastAsia="Calibri" w:cs="Calibri"/>
          <w:color w:val="000000" w:themeColor="text1"/>
          <w:sz w:val="24"/>
          <w:szCs w:val="24"/>
        </w:rPr>
        <w:t xml:space="preserve"> Dr Rosie Tomlins, ST7, West of Scotland NHS Education for Scotland; Dr Nazish Zulfiqar, ST3, HEE Wessex; Hannah Manwell, Workforce Co-ordinator, RCOG.</w:t>
      </w:r>
    </w:p>
    <w:p w:rsidR="4C9258E6" w:rsidP="3A232ED9" w:rsidRDefault="7C54500E" w14:paraId="7A1A78A7" w14:textId="41EA4BDE">
      <w:pPr>
        <w:spacing w:line="276" w:lineRule="auto"/>
        <w:rPr>
          <w:rFonts w:ascii="Aptos" w:hAnsi="Aptos" w:eastAsia="Aptos" w:cs="Aptos"/>
          <w:color w:val="000000" w:themeColor="text1"/>
          <w:sz w:val="24"/>
          <w:szCs w:val="24"/>
        </w:rPr>
      </w:pPr>
      <w:r w:rsidRPr="3A232ED9">
        <w:rPr>
          <w:rFonts w:ascii="Aptos" w:hAnsi="Aptos" w:eastAsia="Aptos" w:cs="Aptos"/>
          <w:color w:val="000000" w:themeColor="text1"/>
          <w:sz w:val="24"/>
          <w:szCs w:val="24"/>
        </w:rPr>
        <w:t xml:space="preserve"> </w:t>
      </w:r>
      <w:r w:rsidRPr="3A232ED9">
        <w:rPr>
          <w:rFonts w:ascii="Aptos" w:hAnsi="Aptos" w:eastAsia="Aptos" w:cs="Aptos"/>
          <w:b/>
          <w:bCs/>
          <w:color w:val="000000" w:themeColor="text1"/>
          <w:sz w:val="24"/>
          <w:szCs w:val="24"/>
        </w:rPr>
        <w:t xml:space="preserve"> </w:t>
      </w:r>
    </w:p>
    <w:p w:rsidR="4C9258E6" w:rsidP="2FF77C75" w:rsidRDefault="7C54500E" w14:paraId="71ADFF13" w14:textId="3402435D">
      <w:pPr>
        <w:pStyle w:val="Heading1"/>
        <w:rPr>
          <w:rFonts w:ascii="Calibri" w:hAnsi="Calibri" w:eastAsia="Calibri" w:cs="Calibri"/>
          <w:color w:val="0070C0"/>
          <w:sz w:val="36"/>
          <w:szCs w:val="36"/>
        </w:rPr>
      </w:pPr>
      <w:bookmarkStart w:name="_Toc1902154817" w:id="792264085"/>
      <w:r w:rsidRPr="2FF77C75" w:rsidR="7C54500E">
        <w:rPr>
          <w:sz w:val="36"/>
          <w:szCs w:val="36"/>
        </w:rPr>
        <w:t>Executive Summary</w:t>
      </w:r>
      <w:bookmarkEnd w:id="792264085"/>
      <w:r w:rsidRPr="2FF77C75" w:rsidR="7C54500E">
        <w:rPr>
          <w:sz w:val="36"/>
          <w:szCs w:val="36"/>
        </w:rPr>
        <w:t xml:space="preserve"> </w:t>
      </w:r>
    </w:p>
    <w:p w:rsidR="4C9258E6" w:rsidP="3A232ED9" w:rsidRDefault="7C54500E" w14:paraId="477AC8B7" w14:textId="1BF0FFEA">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This report aims to provide a detailed snapshot of the wellbeing status and burnout risk amongst the current UK O&amp;G trainee workforce. All doctors need to be provided with an adequately resourced, supportive work environment so that they can deliver the highest levels of care.</w:t>
      </w:r>
    </w:p>
    <w:p w:rsidR="4C9258E6" w:rsidP="3A232ED9" w:rsidRDefault="7C54500E" w14:paraId="197DB7A9" w14:textId="43510BBD">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It is important that rota design considers rest periods, as fatigue can negatively impact both the individual doctor as well as patient safety. Concerningly, 23% of trainees never or rarely feel adequately rested returning to daytime duties after working consecutive night shifts, and </w:t>
      </w:r>
      <w:proofErr w:type="gramStart"/>
      <w:r w:rsidRPr="3A232ED9">
        <w:rPr>
          <w:rFonts w:ascii="Calibri" w:hAnsi="Calibri" w:eastAsia="Calibri" w:cs="Calibri"/>
          <w:color w:val="000000" w:themeColor="text1"/>
          <w:sz w:val="24"/>
          <w:szCs w:val="24"/>
        </w:rPr>
        <w:t>the majority of</w:t>
      </w:r>
      <w:proofErr w:type="gramEnd"/>
      <w:r w:rsidRPr="3A232ED9">
        <w:rPr>
          <w:rFonts w:ascii="Calibri" w:hAnsi="Calibri" w:eastAsia="Calibri" w:cs="Calibri"/>
          <w:color w:val="000000" w:themeColor="text1"/>
          <w:sz w:val="24"/>
          <w:szCs w:val="24"/>
        </w:rPr>
        <w:t xml:space="preserve"> respondents (58.2%) said that they always (5.7%), often (16.6%) or sometimes (35.9%) feel too tired to travel home safely. </w:t>
      </w:r>
    </w:p>
    <w:p w:rsidR="4C9258E6" w:rsidP="3A232ED9" w:rsidRDefault="7C54500E" w14:paraId="13912635" w14:textId="46DC7885">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In addition to meeting the service needs, rotas must also consider the workforce by addressing work intensity, leave entitlements, training and professional development as well as being cognisant of work-life balance. Working less than full time (LTFT) is becoming increasingly popular, with 40% of the current O&amp;G trainee workforce working at 80% or less. </w:t>
      </w:r>
    </w:p>
    <w:p w:rsidR="4C9258E6" w:rsidP="3A232ED9" w:rsidRDefault="7C54500E" w14:paraId="346372BF" w14:textId="44F87C82">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Trainees reported a lack of time to fulfil training requirements within working hours, with almost half (48.5%) of trainees reporting coming into work on off days or zero days to complete these. 47% of respondents disclosed that they do not have non-clinical sessions built into their working week, and of those that do, a significant proportion cited losing these sessions to cover service provision (sometimes (31.8%), often (29%) or always (11.2%)). In addition, exception reports are not consistently submitted and only 40% feel supported in this process. Accurate tracking of working hours is important to support monitoring of understaffing and to bring about improvements to rota design. </w:t>
      </w:r>
    </w:p>
    <w:p w:rsidR="4C9258E6" w:rsidP="3A232ED9" w:rsidRDefault="7C54500E" w14:paraId="5BA44E19" w14:textId="131485FA">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Presently, 20% of trainees are frequently considering (daily/weekly/monthly) to leave the specialty. The most common reasons for intention to leave were lack of work-life balance (46.6%), long working hours (35.8%), intense workload (35.6%), stress (30.5%) and shift working (28.6%). 23.4% of respondents recognised that rota gaps were a contributing factor in their consideration to leave, and some individuals cited a lack of support. </w:t>
      </w:r>
    </w:p>
    <w:p w:rsidR="4C9258E6" w:rsidP="3A232ED9" w:rsidRDefault="7C54500E" w14:paraId="4E896B96" w14:textId="39523884">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Overall, the feedback regarding educational supervision was positive. However, there are improvements that can be made regarding support after adverse events, consistency of consultant supervision and improving workplace behaviours. It is crucial that these areas are </w:t>
      </w:r>
      <w:r w:rsidRPr="3A232ED9">
        <w:rPr>
          <w:rFonts w:ascii="Calibri" w:hAnsi="Calibri" w:eastAsia="Calibri" w:cs="Calibri"/>
          <w:color w:val="000000" w:themeColor="text1"/>
          <w:sz w:val="24"/>
          <w:szCs w:val="24"/>
        </w:rPr>
        <w:lastRenderedPageBreak/>
        <w:t>addressed as they can impact on clinical performance, as well as contributing to staff sickness leave.</w:t>
      </w:r>
    </w:p>
    <w:p w:rsidR="4C9258E6" w:rsidP="3A232ED9" w:rsidRDefault="7C54500E" w14:paraId="034C7FD1" w14:textId="504A2D11">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For the first time, the 2025 TEF survey implemented the Copenhagen Burnout Inventory (CBI) tool to identify trainees’ risk of burnout (high, moderate and low risk), using the seven work-related questions. As such, this report provides a snapshot of the risk of burnout within the O&amp;G trainee workforce. Overall, high burnout risk was observed in 15% of trainees, 47% were at a moderate risk, and the remaining 39% were identified as being at a low risk of burnout. A high risk of burnout was documented in the early–mid specialty training (ST) years, 15.7% at ST1, peaking at 20.3% at ST3. It declined in senior training levels to 10.4% at ST6 and 11.3% at ST7, where low burnout predominated (46.2% at ST6; 49.5% at ST7). The post-CCT group showed that 33.3% were at a high risk of burnout, but this estimate should be interpreted cautiously due to the small sample size (n=6). </w:t>
      </w:r>
    </w:p>
    <w:p w:rsidR="4C9258E6" w:rsidP="3A232ED9" w:rsidRDefault="7C54500E" w14:paraId="57D0ACF5" w14:textId="781F9B17">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TEF survey found that burnout is a powerful indicator of retention risk, as trainees categorised as highly burnt-out were more than thirty times more likely to contemplate leaving the specialty than their lower-burnout counterparts. It is crucial that all doctors are supported to reduce their risk of burnout, not just those in the high-risk category. </w:t>
      </w:r>
    </w:p>
    <w:p w:rsidR="4C9258E6" w:rsidP="3A232ED9" w:rsidRDefault="7C54500E" w14:paraId="512A9D50" w14:textId="3BF66894">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To illustrate the significance of the impact of all absences on the service, the total estimated number of workdays lost for work related physical or mental health issues is approximately 1,467 over a six-month period. Many trainees felt that their working pattern may have contributed to their days of sickness or health concerns, with 19% agreeing and 41% agreeing in part. Other factors felt to have contributed to time off included workplace environment, colleagues, team dynamics and personal circumstances.</w:t>
      </w:r>
    </w:p>
    <w:p w:rsidR="4C9258E6" w:rsidP="3A232ED9" w:rsidRDefault="7C54500E" w14:paraId="3AF51E18" w14:textId="022ABA5B">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To be able to provide safe and compassionate patient care, O&amp;G doctors need a work environment in which they feel physically and psychologically safe. This is also linked to improved staff retention and staff satisfaction, more effective team working and a reduction in the symptoms of burnout. </w:t>
      </w:r>
    </w:p>
    <w:p w:rsidR="4C9258E6" w:rsidP="2FF77C75" w:rsidRDefault="7C54500E" w14:paraId="75377285" w14:textId="7213719E">
      <w:pPr>
        <w:pStyle w:val="Heading1"/>
        <w:rPr>
          <w:rFonts w:ascii="Calibri" w:hAnsi="Calibri" w:eastAsia="Calibri" w:cs="Calibri"/>
          <w:color w:val="0070C0"/>
          <w:sz w:val="36"/>
          <w:szCs w:val="36"/>
        </w:rPr>
      </w:pPr>
      <w:bookmarkStart w:name="_Toc1912239199" w:id="812410589"/>
      <w:r w:rsidRPr="2FF77C75" w:rsidR="7C54500E">
        <w:rPr>
          <w:sz w:val="36"/>
          <w:szCs w:val="36"/>
        </w:rPr>
        <w:t>Background</w:t>
      </w:r>
      <w:bookmarkEnd w:id="812410589"/>
      <w:r w:rsidRPr="2FF77C75" w:rsidR="7C54500E">
        <w:rPr>
          <w:sz w:val="36"/>
          <w:szCs w:val="36"/>
        </w:rPr>
        <w:t xml:space="preserve"> </w:t>
      </w:r>
    </w:p>
    <w:p w:rsidR="4C9258E6" w:rsidP="3A232ED9" w:rsidRDefault="7C54500E" w14:paraId="04B7D63D" w14:textId="22FBC824">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This report relates to the Training Evaluation Form (TEF) survey which is conducted annually by the Royal College of Obstetricians and Gynaecologists (RCOG) to assess the quality of medical education and training across the UK. TEF 2025 was launched on 5 February 2025 and closed on 18 March 2025.  </w:t>
      </w:r>
    </w:p>
    <w:p w:rsidR="4C9258E6" w:rsidP="3A232ED9" w:rsidRDefault="7C54500E" w14:paraId="4DC98EB0" w14:textId="7D15BED3">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The RCOG uses the results of the TEF survey to monitor and enhance the educational experience for doctors in training.  Participation in TEF is mandatory and is a requirement of the training matrix of progression. Responses to the survey are treated confidentially and reported anonymously, allowing trainees to provide honest feedback about their training experience.</w:t>
      </w:r>
    </w:p>
    <w:p w:rsidR="4C9258E6" w:rsidP="2FF77C75" w:rsidRDefault="7C54500E" w14:paraId="36121DFC" w14:textId="053EDB08">
      <w:pPr>
        <w:pStyle w:val="Heading1"/>
        <w:rPr>
          <w:rFonts w:ascii="Calibri" w:hAnsi="Calibri" w:eastAsia="Calibri" w:cs="Calibri"/>
          <w:color w:val="0070C0"/>
          <w:sz w:val="36"/>
          <w:szCs w:val="36"/>
        </w:rPr>
      </w:pPr>
      <w:bookmarkStart w:name="_Toc1324457247" w:id="560832448"/>
      <w:r w:rsidRPr="2FF77C75" w:rsidR="7C54500E">
        <w:rPr>
          <w:sz w:val="36"/>
          <w:szCs w:val="36"/>
        </w:rPr>
        <w:t>Introduction</w:t>
      </w:r>
      <w:bookmarkEnd w:id="560832448"/>
    </w:p>
    <w:p w:rsidR="4C9258E6" w:rsidP="3A232ED9" w:rsidRDefault="7C54500E" w14:paraId="0762C1C4" w14:textId="784D9719">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Obstetrics and gynaecology (O&amp;G) </w:t>
      </w:r>
      <w:proofErr w:type="gramStart"/>
      <w:r w:rsidRPr="3A232ED9">
        <w:rPr>
          <w:rFonts w:ascii="Calibri" w:hAnsi="Calibri" w:eastAsia="Calibri" w:cs="Calibri"/>
          <w:color w:val="000000" w:themeColor="text1"/>
          <w:sz w:val="24"/>
          <w:szCs w:val="24"/>
        </w:rPr>
        <w:t>is</w:t>
      </w:r>
      <w:proofErr w:type="gramEnd"/>
      <w:r w:rsidRPr="3A232ED9">
        <w:rPr>
          <w:rFonts w:ascii="Calibri" w:hAnsi="Calibri" w:eastAsia="Calibri" w:cs="Calibri"/>
          <w:color w:val="000000" w:themeColor="text1"/>
          <w:sz w:val="24"/>
          <w:szCs w:val="24"/>
        </w:rPr>
        <w:t xml:space="preserve"> a highly demanding speciality. The General Medical Council (GMC) National Training Survey 2025 identified that almost one quarter (23%) of the O&amp;G trainee workforce are at high risk of burnout, second only to Emergency Medicine</w:t>
      </w:r>
      <w:r w:rsidRPr="3A232ED9">
        <w:rPr>
          <w:rFonts w:ascii="Calibri" w:hAnsi="Calibri" w:eastAsia="Calibri" w:cs="Calibri"/>
          <w:color w:val="000000" w:themeColor="text1"/>
          <w:sz w:val="24"/>
          <w:szCs w:val="24"/>
          <w:vertAlign w:val="superscript"/>
        </w:rPr>
        <w:t>1</w:t>
      </w:r>
      <w:r w:rsidRPr="3A232ED9">
        <w:rPr>
          <w:rFonts w:ascii="Calibri" w:hAnsi="Calibri" w:eastAsia="Calibri" w:cs="Calibri"/>
          <w:color w:val="000000" w:themeColor="text1"/>
          <w:sz w:val="24"/>
          <w:szCs w:val="24"/>
        </w:rPr>
        <w:t xml:space="preserve">. </w:t>
      </w:r>
    </w:p>
    <w:p w:rsidR="4C9258E6" w:rsidP="3A232ED9" w:rsidRDefault="7C54500E" w14:paraId="5A9842EA" w14:textId="3BF14445">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Although studies have identified that trainees are at highest risk of burnout</w:t>
      </w:r>
      <w:r w:rsidRPr="3A232ED9">
        <w:rPr>
          <w:rFonts w:ascii="Calibri" w:hAnsi="Calibri" w:eastAsia="Calibri" w:cs="Calibri"/>
          <w:color w:val="000000" w:themeColor="text1"/>
          <w:sz w:val="24"/>
          <w:szCs w:val="24"/>
          <w:vertAlign w:val="superscript"/>
        </w:rPr>
        <w:t>2</w:t>
      </w:r>
      <w:r w:rsidRPr="3A232ED9">
        <w:rPr>
          <w:rFonts w:ascii="Calibri" w:hAnsi="Calibri" w:eastAsia="Calibri" w:cs="Calibri"/>
          <w:color w:val="000000" w:themeColor="text1"/>
          <w:sz w:val="24"/>
          <w:szCs w:val="24"/>
        </w:rPr>
        <w:t>, 26% of the entire O&amp;G workforce</w:t>
      </w:r>
      <w:r w:rsidRPr="3A232ED9">
        <w:rPr>
          <w:rFonts w:ascii="Calibri" w:hAnsi="Calibri" w:eastAsia="Calibri" w:cs="Calibri"/>
          <w:color w:val="000000" w:themeColor="text1"/>
          <w:sz w:val="24"/>
          <w:szCs w:val="24"/>
          <w:vertAlign w:val="superscript"/>
        </w:rPr>
        <w:t>5</w:t>
      </w:r>
      <w:r w:rsidRPr="3A232ED9">
        <w:rPr>
          <w:rFonts w:ascii="Calibri" w:hAnsi="Calibri" w:eastAsia="Calibri" w:cs="Calibri"/>
          <w:color w:val="000000" w:themeColor="text1"/>
          <w:sz w:val="24"/>
          <w:szCs w:val="24"/>
        </w:rPr>
        <w:t xml:space="preserve"> and 12.6% of O&amp;G trainers</w:t>
      </w:r>
      <w:r w:rsidRPr="3A232ED9">
        <w:rPr>
          <w:rFonts w:ascii="Calibri" w:hAnsi="Calibri" w:eastAsia="Calibri" w:cs="Calibri"/>
          <w:color w:val="000000" w:themeColor="text1"/>
          <w:sz w:val="24"/>
          <w:szCs w:val="24"/>
          <w:vertAlign w:val="superscript"/>
        </w:rPr>
        <w:t>1</w:t>
      </w:r>
      <w:r w:rsidRPr="3A232ED9">
        <w:rPr>
          <w:rFonts w:ascii="Calibri" w:hAnsi="Calibri" w:eastAsia="Calibri" w:cs="Calibri"/>
          <w:color w:val="000000" w:themeColor="text1"/>
          <w:sz w:val="24"/>
          <w:szCs w:val="24"/>
        </w:rPr>
        <w:t xml:space="preserve"> have also been identified as being at a high risk. Therefore, it is likely that all O&amp;G doctors are at risk of experiencing burnout at some point during their careers</w:t>
      </w:r>
      <w:r w:rsidRPr="3A232ED9">
        <w:rPr>
          <w:rFonts w:ascii="Calibri" w:hAnsi="Calibri" w:eastAsia="Calibri" w:cs="Calibri"/>
          <w:color w:val="000000" w:themeColor="text1"/>
          <w:sz w:val="24"/>
          <w:szCs w:val="24"/>
          <w:vertAlign w:val="superscript"/>
        </w:rPr>
        <w:t>3</w:t>
      </w:r>
      <w:r w:rsidRPr="3A232ED9">
        <w:rPr>
          <w:rFonts w:ascii="Calibri" w:hAnsi="Calibri" w:eastAsia="Calibri" w:cs="Calibri"/>
          <w:color w:val="000000" w:themeColor="text1"/>
          <w:sz w:val="24"/>
          <w:szCs w:val="24"/>
        </w:rPr>
        <w:t xml:space="preserve">. </w:t>
      </w:r>
    </w:p>
    <w:p w:rsidR="4C9258E6" w:rsidP="3A232ED9" w:rsidRDefault="7C54500E" w14:paraId="50BD6AE8" w14:textId="66284B19">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O&amp;G workforce is facing ever evolving challenges. Nationally, birth rates are declining but rising obesity rates are making operating technically more challenging, and an ageing population is contributing to more complex clinical decision making and management. More than ever, we are faced with higher patient expectations and public scrutiny of our services. </w:t>
      </w:r>
    </w:p>
    <w:p w:rsidR="4C9258E6" w:rsidP="3A232ED9" w:rsidRDefault="7C54500E" w14:paraId="2F95CAD2" w14:textId="57BAC977">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Additionally, although the RCOG Workforce Report 2022 identified that the attrition rates of trainees within England have declined from 12% in 2013 to 3% in 2019</w:t>
      </w:r>
      <w:r w:rsidRPr="3A232ED9">
        <w:rPr>
          <w:rFonts w:ascii="Calibri" w:hAnsi="Calibri" w:eastAsia="Calibri" w:cs="Calibri"/>
          <w:color w:val="171717" w:themeColor="background2" w:themeShade="1A"/>
          <w:sz w:val="24"/>
          <w:szCs w:val="24"/>
          <w:vertAlign w:val="superscript"/>
        </w:rPr>
        <w:t>4</w:t>
      </w:r>
      <w:r w:rsidRPr="3A232ED9">
        <w:rPr>
          <w:rFonts w:ascii="Calibri" w:hAnsi="Calibri" w:eastAsia="Calibri" w:cs="Calibri"/>
          <w:color w:val="000000" w:themeColor="text1"/>
          <w:sz w:val="24"/>
          <w:szCs w:val="24"/>
        </w:rPr>
        <w:t>, there remains a high rate of attrition nationwide after doctors receive the Certificate of Completion of Training (CCT); 16% of new consultants leave our speciality within five years of entering the Specialist Register</w:t>
      </w:r>
      <w:r w:rsidRPr="3A232ED9">
        <w:rPr>
          <w:rFonts w:ascii="Calibri" w:hAnsi="Calibri" w:eastAsia="Calibri" w:cs="Calibri"/>
          <w:color w:val="000000" w:themeColor="text1"/>
          <w:sz w:val="24"/>
          <w:szCs w:val="24"/>
          <w:vertAlign w:val="superscript"/>
        </w:rPr>
        <w:t>5</w:t>
      </w:r>
      <w:r w:rsidRPr="3A232ED9">
        <w:rPr>
          <w:rFonts w:ascii="Calibri" w:hAnsi="Calibri" w:eastAsia="Calibri" w:cs="Calibri"/>
          <w:color w:val="000000" w:themeColor="text1"/>
          <w:sz w:val="24"/>
          <w:szCs w:val="24"/>
        </w:rPr>
        <w:t>.</w:t>
      </w:r>
      <w:r w:rsidRPr="3A232ED9">
        <w:rPr>
          <w:rFonts w:ascii="Calibri" w:hAnsi="Calibri" w:eastAsia="Calibri" w:cs="Calibri"/>
          <w:color w:val="000000" w:themeColor="text1"/>
          <w:sz w:val="24"/>
          <w:szCs w:val="24"/>
          <w:vertAlign w:val="superscript"/>
        </w:rPr>
        <w:t xml:space="preserve">  </w:t>
      </w:r>
      <w:r w:rsidRPr="3A232ED9">
        <w:rPr>
          <w:rFonts w:ascii="Calibri" w:hAnsi="Calibri" w:eastAsia="Calibri" w:cs="Calibri"/>
          <w:color w:val="000000" w:themeColor="text1"/>
          <w:sz w:val="24"/>
          <w:szCs w:val="24"/>
        </w:rPr>
        <w:t xml:space="preserve">This leads to increased workload and pressure on an already stretched workforce. It is therefore vital that we examine our trainees’ wellbeing to prevent burnout and protect our current and future workforce, to ensure they can deliver the highest levels of compassionate care to women and girls. </w:t>
      </w:r>
    </w:p>
    <w:p w:rsidR="4C9258E6" w:rsidP="3A232ED9" w:rsidRDefault="7C54500E" w14:paraId="6847CEEA" w14:textId="3EBC8CF1">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For the first time, the 2025 TEF survey implemented the Copenhagen Burnout Inventory (CBI) tool to identify trainees’ risk of burnout (high, moderate and low risk), using the seven work-related questions. As such, this report provides a snapshot of the risk of burnout within the O&amp;G trainee workforce across the UK. </w:t>
      </w:r>
    </w:p>
    <w:p w:rsidR="4C9258E6" w:rsidP="3A232ED9" w:rsidRDefault="7C54500E" w14:paraId="2E942A40" w14:textId="296E3654">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Burnout is a complex occupational condition, defined as a “state of prolonged physical and psychological exhaustion, which is perceived as related to the individual’s work”</w:t>
      </w:r>
      <w:r w:rsidRPr="3A232ED9">
        <w:rPr>
          <w:rFonts w:ascii="Calibri" w:hAnsi="Calibri" w:eastAsia="Calibri" w:cs="Calibri"/>
          <w:color w:val="000000" w:themeColor="text1"/>
          <w:sz w:val="24"/>
          <w:szCs w:val="24"/>
          <w:vertAlign w:val="superscript"/>
        </w:rPr>
        <w:t>6</w:t>
      </w:r>
      <w:r w:rsidRPr="3A232ED9">
        <w:rPr>
          <w:rFonts w:ascii="Calibri" w:hAnsi="Calibri" w:eastAsia="Calibri" w:cs="Calibri"/>
          <w:color w:val="000000" w:themeColor="text1"/>
          <w:sz w:val="24"/>
          <w:szCs w:val="24"/>
        </w:rPr>
        <w:t xml:space="preserve">. It can be triggered by factors both within and outside of the workplace. Trainees may be affected by burnout at different times throughout the course of their training, with each ST level bringing different challenges and demands as well as varying experiences within different units. </w:t>
      </w:r>
    </w:p>
    <w:p w:rsidR="4C9258E6" w:rsidP="3A232ED9" w:rsidRDefault="7C54500E" w14:paraId="0DA02F02" w14:textId="73A4D68A">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As was cited by the GMC Duties of a Doctor,</w:t>
      </w:r>
      <w:r w:rsidRPr="3A232ED9">
        <w:rPr>
          <w:rFonts w:ascii="Calibri" w:hAnsi="Calibri" w:eastAsia="Calibri" w:cs="Calibri"/>
          <w:color w:val="000000" w:themeColor="text1"/>
          <w:sz w:val="24"/>
          <w:szCs w:val="24"/>
          <w:vertAlign w:val="superscript"/>
        </w:rPr>
        <w:t xml:space="preserve"> </w:t>
      </w:r>
      <w:r w:rsidRPr="3A232ED9">
        <w:rPr>
          <w:rFonts w:ascii="Calibri" w:hAnsi="Calibri" w:eastAsia="Calibri" w:cs="Calibri"/>
          <w:color w:val="000000" w:themeColor="text1"/>
          <w:sz w:val="24"/>
          <w:szCs w:val="24"/>
        </w:rPr>
        <w:t>we should all be working within a supportive work environment</w:t>
      </w:r>
      <w:r w:rsidRPr="3A232ED9">
        <w:rPr>
          <w:rFonts w:ascii="Calibri" w:hAnsi="Calibri" w:eastAsia="Calibri" w:cs="Calibri"/>
          <w:color w:val="000000" w:themeColor="text1"/>
          <w:sz w:val="24"/>
          <w:szCs w:val="24"/>
          <w:vertAlign w:val="superscript"/>
        </w:rPr>
        <w:t>7</w:t>
      </w:r>
      <w:r w:rsidRPr="3A232ED9">
        <w:rPr>
          <w:rFonts w:ascii="Calibri" w:hAnsi="Calibri" w:eastAsia="Calibri" w:cs="Calibri"/>
          <w:color w:val="000000" w:themeColor="text1"/>
          <w:sz w:val="24"/>
          <w:szCs w:val="24"/>
        </w:rPr>
        <w:t>. Factors contributing towards cultivating this environment include meeting physical, psychological and self-actualisation needs</w:t>
      </w:r>
      <w:r w:rsidRPr="3A232ED9">
        <w:rPr>
          <w:rFonts w:ascii="Calibri" w:hAnsi="Calibri" w:eastAsia="Calibri" w:cs="Calibri"/>
          <w:color w:val="000000" w:themeColor="text1"/>
          <w:sz w:val="24"/>
          <w:szCs w:val="24"/>
          <w:vertAlign w:val="superscript"/>
        </w:rPr>
        <w:t>4</w:t>
      </w:r>
      <w:r w:rsidRPr="3A232ED9">
        <w:rPr>
          <w:rFonts w:ascii="Calibri" w:hAnsi="Calibri" w:eastAsia="Calibri" w:cs="Calibri"/>
          <w:color w:val="000000" w:themeColor="text1"/>
          <w:sz w:val="24"/>
          <w:szCs w:val="24"/>
        </w:rPr>
        <w:t>. As such, this report will also analyse working patterns, working conditions, and workplace culture to highlight areas of excellence and identify opportunities for improvement.</w:t>
      </w:r>
    </w:p>
    <w:p w:rsidR="4C9258E6" w:rsidP="2FF77C75" w:rsidRDefault="7C54500E" w14:paraId="61D973E7" w14:textId="771FFC55">
      <w:pPr>
        <w:pStyle w:val="Heading1"/>
        <w:rPr>
          <w:rFonts w:ascii="Calibri" w:hAnsi="Calibri" w:eastAsia="Calibri" w:cs="Calibri"/>
          <w:color w:val="0070C0"/>
          <w:sz w:val="36"/>
          <w:szCs w:val="36"/>
        </w:rPr>
      </w:pPr>
      <w:bookmarkStart w:name="_Toc2003749681" w:id="1540900635"/>
      <w:r w:rsidRPr="2FF77C75" w:rsidR="7C54500E">
        <w:rPr>
          <w:sz w:val="36"/>
          <w:szCs w:val="36"/>
        </w:rPr>
        <w:t>Methodology</w:t>
      </w:r>
      <w:bookmarkEnd w:id="1540900635"/>
    </w:p>
    <w:p w:rsidR="4C9258E6" w:rsidP="3A232ED9" w:rsidRDefault="7C54500E" w14:paraId="05D6D403" w14:textId="4FF7A2FB">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Each of the questions identified in the Training Evaluation Form (TEF) survey was descriptively analysed and, where necessary, grouped according to training year, region, and working pattern (full-time or less-than-full-time). </w:t>
      </w:r>
    </w:p>
    <w:p w:rsidR="4C9258E6" w:rsidP="3A232ED9" w:rsidRDefault="7C54500E" w14:paraId="060E5C2C" w14:textId="150AFB27">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lastRenderedPageBreak/>
        <w:t>When the number of respondents in a group is &lt;3, relevant results and overall totals have been suppressed to protect the anonymity of respondents.</w:t>
      </w:r>
    </w:p>
    <w:p w:rsidR="4C9258E6" w:rsidP="3A232ED9" w:rsidRDefault="7C54500E" w14:paraId="7B3C3336" w14:textId="6D4920BE">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Burnout was measured by the Copenhagen Burnout Inventory (CBI), a tool for burnout measurement, using the seven work-related questions. Responses were classified as high, moderate and low burnout.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4500"/>
        <w:gridCol w:w="4500"/>
      </w:tblGrid>
      <w:tr w:rsidR="3A232ED9" w:rsidTr="3A232ED9" w14:paraId="52AA4C61" w14:textId="77777777">
        <w:trPr>
          <w:trHeight w:val="300"/>
        </w:trPr>
        <w:tc>
          <w:tcPr>
            <w:tcW w:w="4500" w:type="dxa"/>
            <w:tcMar>
              <w:left w:w="105" w:type="dxa"/>
              <w:right w:w="105" w:type="dxa"/>
            </w:tcMar>
          </w:tcPr>
          <w:p w:rsidR="3A232ED9" w:rsidP="3A232ED9" w:rsidRDefault="3A232ED9" w14:paraId="1F445887" w14:textId="61F499CC">
            <w:pPr>
              <w:spacing w:line="257" w:lineRule="auto"/>
              <w:rPr>
                <w:rFonts w:ascii="Calibri" w:hAnsi="Calibri" w:eastAsia="Calibri" w:cs="Calibri"/>
                <w:sz w:val="24"/>
                <w:szCs w:val="24"/>
              </w:rPr>
            </w:pPr>
            <w:r w:rsidRPr="3A232ED9">
              <w:rPr>
                <w:rFonts w:ascii="Calibri" w:hAnsi="Calibri" w:eastAsia="Calibri" w:cs="Calibri"/>
                <w:b/>
                <w:bCs/>
                <w:sz w:val="24"/>
                <w:szCs w:val="24"/>
              </w:rPr>
              <w:t>Burnout category</w:t>
            </w:r>
          </w:p>
        </w:tc>
        <w:tc>
          <w:tcPr>
            <w:tcW w:w="4500" w:type="dxa"/>
            <w:tcMar>
              <w:left w:w="105" w:type="dxa"/>
              <w:right w:w="105" w:type="dxa"/>
            </w:tcMar>
          </w:tcPr>
          <w:p w:rsidR="3A232ED9" w:rsidP="3A232ED9" w:rsidRDefault="3A232ED9" w14:paraId="7137ACA4" w14:textId="5795D602">
            <w:pPr>
              <w:spacing w:line="257" w:lineRule="auto"/>
              <w:rPr>
                <w:rFonts w:ascii="Calibri" w:hAnsi="Calibri" w:eastAsia="Calibri" w:cs="Calibri"/>
                <w:sz w:val="24"/>
                <w:szCs w:val="24"/>
              </w:rPr>
            </w:pPr>
            <w:r w:rsidRPr="3A232ED9">
              <w:rPr>
                <w:rFonts w:ascii="Calibri" w:hAnsi="Calibri" w:eastAsia="Calibri" w:cs="Calibri"/>
                <w:b/>
                <w:bCs/>
                <w:sz w:val="24"/>
                <w:szCs w:val="24"/>
              </w:rPr>
              <w:t>Score range</w:t>
            </w:r>
          </w:p>
        </w:tc>
      </w:tr>
      <w:tr w:rsidR="3A232ED9" w:rsidTr="3A232ED9" w14:paraId="02F4007B" w14:textId="77777777">
        <w:trPr>
          <w:trHeight w:val="300"/>
        </w:trPr>
        <w:tc>
          <w:tcPr>
            <w:tcW w:w="4500" w:type="dxa"/>
            <w:tcMar>
              <w:left w:w="105" w:type="dxa"/>
              <w:right w:w="105" w:type="dxa"/>
            </w:tcMar>
          </w:tcPr>
          <w:p w:rsidR="3A232ED9" w:rsidP="3A232ED9" w:rsidRDefault="3A232ED9" w14:paraId="2888E5EA" w14:textId="700EA79E">
            <w:pPr>
              <w:spacing w:line="257" w:lineRule="auto"/>
              <w:rPr>
                <w:rFonts w:ascii="Calibri" w:hAnsi="Calibri" w:eastAsia="Calibri" w:cs="Calibri"/>
                <w:sz w:val="24"/>
                <w:szCs w:val="24"/>
              </w:rPr>
            </w:pPr>
            <w:r w:rsidRPr="3A232ED9">
              <w:rPr>
                <w:rFonts w:ascii="Calibri" w:hAnsi="Calibri" w:eastAsia="Calibri" w:cs="Calibri"/>
                <w:sz w:val="24"/>
                <w:szCs w:val="24"/>
              </w:rPr>
              <w:t>Low</w:t>
            </w:r>
          </w:p>
        </w:tc>
        <w:tc>
          <w:tcPr>
            <w:tcW w:w="4500" w:type="dxa"/>
            <w:tcMar>
              <w:left w:w="105" w:type="dxa"/>
              <w:right w:w="105" w:type="dxa"/>
            </w:tcMar>
          </w:tcPr>
          <w:p w:rsidR="3A232ED9" w:rsidP="3A232ED9" w:rsidRDefault="3A232ED9" w14:paraId="59A9FB7A" w14:textId="0E2AF626">
            <w:pPr>
              <w:spacing w:line="257" w:lineRule="auto"/>
              <w:rPr>
                <w:rFonts w:ascii="Calibri" w:hAnsi="Calibri" w:eastAsia="Calibri" w:cs="Calibri"/>
                <w:sz w:val="24"/>
                <w:szCs w:val="24"/>
              </w:rPr>
            </w:pPr>
            <w:r w:rsidRPr="3A232ED9">
              <w:rPr>
                <w:rFonts w:ascii="Calibri" w:hAnsi="Calibri" w:eastAsia="Calibri" w:cs="Calibri"/>
                <w:sz w:val="24"/>
                <w:szCs w:val="24"/>
              </w:rPr>
              <w:t>Over 50</w:t>
            </w:r>
          </w:p>
        </w:tc>
      </w:tr>
      <w:tr w:rsidR="3A232ED9" w:rsidTr="3A232ED9" w14:paraId="34B3E0CA" w14:textId="77777777">
        <w:trPr>
          <w:trHeight w:val="300"/>
        </w:trPr>
        <w:tc>
          <w:tcPr>
            <w:tcW w:w="4500" w:type="dxa"/>
            <w:tcMar>
              <w:left w:w="105" w:type="dxa"/>
              <w:right w:w="105" w:type="dxa"/>
            </w:tcMar>
          </w:tcPr>
          <w:p w:rsidR="3A232ED9" w:rsidP="3A232ED9" w:rsidRDefault="3A232ED9" w14:paraId="2E60242C" w14:textId="624484F8">
            <w:pPr>
              <w:spacing w:line="257" w:lineRule="auto"/>
              <w:rPr>
                <w:rFonts w:ascii="Calibri" w:hAnsi="Calibri" w:eastAsia="Calibri" w:cs="Calibri"/>
                <w:sz w:val="24"/>
                <w:szCs w:val="24"/>
              </w:rPr>
            </w:pPr>
            <w:r w:rsidRPr="3A232ED9">
              <w:rPr>
                <w:rFonts w:ascii="Calibri" w:hAnsi="Calibri" w:eastAsia="Calibri" w:cs="Calibri"/>
                <w:sz w:val="24"/>
                <w:szCs w:val="24"/>
              </w:rPr>
              <w:t>Moderate</w:t>
            </w:r>
          </w:p>
        </w:tc>
        <w:tc>
          <w:tcPr>
            <w:tcW w:w="4500" w:type="dxa"/>
            <w:tcMar>
              <w:left w:w="105" w:type="dxa"/>
              <w:right w:w="105" w:type="dxa"/>
            </w:tcMar>
          </w:tcPr>
          <w:p w:rsidR="3A232ED9" w:rsidP="3A232ED9" w:rsidRDefault="3A232ED9" w14:paraId="757EFE2B" w14:textId="639051D5">
            <w:pPr>
              <w:spacing w:line="257" w:lineRule="auto"/>
              <w:rPr>
                <w:rFonts w:ascii="Calibri" w:hAnsi="Calibri" w:eastAsia="Calibri" w:cs="Calibri"/>
                <w:sz w:val="24"/>
                <w:szCs w:val="24"/>
              </w:rPr>
            </w:pPr>
            <w:r w:rsidRPr="3A232ED9">
              <w:rPr>
                <w:rFonts w:ascii="Calibri" w:hAnsi="Calibri" w:eastAsia="Calibri" w:cs="Calibri"/>
                <w:sz w:val="24"/>
                <w:szCs w:val="24"/>
              </w:rPr>
              <w:t>Over 25 up to and including 50</w:t>
            </w:r>
          </w:p>
        </w:tc>
      </w:tr>
      <w:tr w:rsidR="3A232ED9" w:rsidTr="3A232ED9" w14:paraId="0E167771" w14:textId="77777777">
        <w:trPr>
          <w:trHeight w:val="300"/>
        </w:trPr>
        <w:tc>
          <w:tcPr>
            <w:tcW w:w="4500" w:type="dxa"/>
            <w:tcMar>
              <w:left w:w="105" w:type="dxa"/>
              <w:right w:w="105" w:type="dxa"/>
            </w:tcMar>
          </w:tcPr>
          <w:p w:rsidR="3A232ED9" w:rsidP="3A232ED9" w:rsidRDefault="3A232ED9" w14:paraId="4160FD90" w14:textId="74F4CE0A">
            <w:pPr>
              <w:spacing w:line="257" w:lineRule="auto"/>
              <w:rPr>
                <w:rFonts w:ascii="Calibri" w:hAnsi="Calibri" w:eastAsia="Calibri" w:cs="Calibri"/>
                <w:sz w:val="24"/>
                <w:szCs w:val="24"/>
              </w:rPr>
            </w:pPr>
            <w:r w:rsidRPr="3A232ED9">
              <w:rPr>
                <w:rFonts w:ascii="Calibri" w:hAnsi="Calibri" w:eastAsia="Calibri" w:cs="Calibri"/>
                <w:sz w:val="24"/>
                <w:szCs w:val="24"/>
              </w:rPr>
              <w:t>High</w:t>
            </w:r>
          </w:p>
        </w:tc>
        <w:tc>
          <w:tcPr>
            <w:tcW w:w="4500" w:type="dxa"/>
            <w:tcMar>
              <w:left w:w="105" w:type="dxa"/>
              <w:right w:w="105" w:type="dxa"/>
            </w:tcMar>
          </w:tcPr>
          <w:p w:rsidR="3A232ED9" w:rsidP="3A232ED9" w:rsidRDefault="3A232ED9" w14:paraId="1AF0F990" w14:textId="22588579">
            <w:pPr>
              <w:spacing w:line="257" w:lineRule="auto"/>
              <w:rPr>
                <w:rFonts w:ascii="Calibri" w:hAnsi="Calibri" w:eastAsia="Calibri" w:cs="Calibri"/>
                <w:sz w:val="24"/>
                <w:szCs w:val="24"/>
              </w:rPr>
            </w:pPr>
            <w:r w:rsidRPr="3A232ED9">
              <w:rPr>
                <w:rFonts w:ascii="Calibri" w:hAnsi="Calibri" w:eastAsia="Calibri" w:cs="Calibri"/>
                <w:sz w:val="24"/>
                <w:szCs w:val="24"/>
              </w:rPr>
              <w:t>Less than and including 25</w:t>
            </w:r>
          </w:p>
        </w:tc>
      </w:tr>
    </w:tbl>
    <w:p w:rsidR="4C9258E6" w:rsidP="3A232ED9" w:rsidRDefault="4C9258E6" w14:paraId="29BFB6B8" w14:textId="6A8DE000">
      <w:pPr>
        <w:spacing w:line="257" w:lineRule="auto"/>
        <w:rPr>
          <w:rFonts w:ascii="Calibri" w:hAnsi="Calibri" w:eastAsia="Calibri" w:cs="Calibri"/>
          <w:color w:val="000000" w:themeColor="text1"/>
          <w:sz w:val="24"/>
          <w:szCs w:val="24"/>
        </w:rPr>
      </w:pPr>
    </w:p>
    <w:p w:rsidR="4C9258E6" w:rsidP="3A232ED9" w:rsidRDefault="7C54500E" w14:paraId="491246A4" w14:textId="13FDAB5F">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Relationships between the variables of interest, including the burnout level and intention to leave the specialty, satisfaction with placements, sickness absence, and the recognition of positive behaviours were investigated. Chi-square tests were used to test statistical relations between burnout levels, and the most relevant outcomes and effect sizes were determined by using Cramer V when relevant.</w:t>
      </w:r>
    </w:p>
    <w:p w:rsidR="4C9258E6" w:rsidP="3A232ED9" w:rsidRDefault="7C54500E" w14:paraId="4744CCE1" w14:textId="7CBD1B8C">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Where Likert-scale data were involved, the answers were translated into a numerical range of 1 to 5 to be able to compare the answers statistically, where 1 corresponded to the least favourable answer and 5 to the most favourable answer. In negatively framed questions, the scores were inverted so that there was consistency in the interpretation. As an illustration, a strongly agree with the work intensity is too high to my learning needs response received a score of 1 but the same response to the work intensity is too low to my learning needs received a score of 5.</w:t>
      </w:r>
    </w:p>
    <w:p w:rsidR="4C9258E6" w:rsidP="3A232ED9" w:rsidRDefault="7C54500E" w14:paraId="07B53EAF" w14:textId="12AF5819">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There were some categorical responses that were grouped to facilitate meaningful analysis. As an example, intention to leave specialty was categorized as Yes in case of trainees who thought of leaving the specialty on daily, weekly, or monthly basis, whereas No was used in cases when trainees thought of leaving the specialty occasionally or never. </w:t>
      </w:r>
    </w:p>
    <w:p w:rsidR="4C9258E6" w:rsidP="3A232ED9" w:rsidRDefault="7C54500E" w14:paraId="6E4F804C" w14:textId="446E0FBA">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Frequencies, percentages, and mean scores were also computed as descriptive statistics and tables and graphs were generated to demonstrate trends. Comparisons between 2025 outcomes and 2024 TEF data were made where possible to determine the differences between the training years and regions. Descriptive statistics of data was conducted with the help of Microsoft Excel and inferential testing with the help of IBM SPSS Statistics. </w:t>
      </w:r>
    </w:p>
    <w:p w:rsidR="4C9258E6" w:rsidP="3A232ED9" w:rsidRDefault="7C54500E" w14:paraId="314EC84C" w14:textId="409AE1E7">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 full list of TEF questions analysed can be found in Appendix C. </w:t>
      </w:r>
    </w:p>
    <w:p w:rsidR="4C9258E6" w:rsidP="3A232ED9" w:rsidRDefault="7C54500E" w14:paraId="63970415" w14:textId="5DC8827B">
      <w:pPr>
        <w:pStyle w:val="Heading1"/>
        <w:spacing w:before="360" w:after="80" w:line="276" w:lineRule="auto"/>
        <w:rPr>
          <w:rFonts w:ascii="Calibri" w:hAnsi="Calibri" w:eastAsia="Calibri" w:cs="Calibri"/>
          <w:color w:val="0070C0"/>
          <w:sz w:val="36"/>
          <w:szCs w:val="36"/>
        </w:rPr>
      </w:pPr>
      <w:bookmarkStart w:name="_Toc2084703649" w:id="1647521163"/>
      <w:r w:rsidRPr="2FF77C75" w:rsidR="7C54500E">
        <w:rPr>
          <w:rStyle w:val="Heading1Char"/>
          <w:sz w:val="36"/>
          <w:szCs w:val="36"/>
        </w:rPr>
        <w:t>Analysis and Discussion</w:t>
      </w:r>
      <w:bookmarkEnd w:id="1647521163"/>
      <w:r w:rsidRPr="2FF77C75" w:rsidR="7C54500E">
        <w:rPr>
          <w:rFonts w:ascii="Calibri" w:hAnsi="Calibri" w:eastAsia="Calibri" w:cs="Calibri"/>
          <w:color w:val="0070C0"/>
          <w:sz w:val="36"/>
          <w:szCs w:val="36"/>
        </w:rPr>
        <w:t xml:space="preserve">   </w:t>
      </w:r>
    </w:p>
    <w:p w:rsidR="4C9258E6" w:rsidP="3A232ED9" w:rsidRDefault="7C54500E" w14:paraId="73A9CE2D" w14:textId="46829D88">
      <w:pPr>
        <w:pStyle w:val="Heading2"/>
        <w:spacing w:line="276" w:lineRule="auto"/>
        <w:rPr>
          <w:rFonts w:ascii="Calibri" w:hAnsi="Calibri" w:eastAsia="Calibri" w:cs="Calibri"/>
          <w:color w:val="002060"/>
          <w:sz w:val="24"/>
          <w:szCs w:val="24"/>
        </w:rPr>
      </w:pPr>
      <w:bookmarkStart w:name="_Toc85805879" w:id="1390937707"/>
      <w:r w:rsidRPr="2FF77C75" w:rsidR="7C54500E">
        <w:rPr>
          <w:rFonts w:ascii="Calibri" w:hAnsi="Calibri" w:eastAsia="Calibri" w:cs="Calibri"/>
          <w:b w:val="1"/>
          <w:bCs w:val="1"/>
          <w:color w:val="002060"/>
          <w:sz w:val="24"/>
          <w:szCs w:val="24"/>
        </w:rPr>
        <w:t>Attrition and intention to leave speciality</w:t>
      </w:r>
      <w:bookmarkEnd w:id="1390937707"/>
      <w:r w:rsidRPr="2FF77C75" w:rsidR="7C54500E">
        <w:rPr>
          <w:rFonts w:ascii="Calibri" w:hAnsi="Calibri" w:eastAsia="Calibri" w:cs="Calibri"/>
          <w:b w:val="1"/>
          <w:bCs w:val="1"/>
          <w:color w:val="002060"/>
          <w:sz w:val="24"/>
          <w:szCs w:val="24"/>
        </w:rPr>
        <w:t xml:space="preserve"> </w:t>
      </w:r>
    </w:p>
    <w:p w:rsidR="4C9258E6" w:rsidP="3A232ED9" w:rsidRDefault="7C54500E" w14:paraId="245D37D6" w14:textId="4F8C7251">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2025 TEF survey found that 2% of trainees seriously consider leaving the speciality daily, 7% weekly and 11% monthly. 45% of trainees occasionally thought about leaving and 33% never seriously considered leaving. This is a slight improvement from 2024 as is demonstrated </w:t>
      </w:r>
      <w:r w:rsidRPr="3A232ED9">
        <w:rPr>
          <w:rFonts w:ascii="Calibri" w:hAnsi="Calibri" w:eastAsia="Calibri" w:cs="Calibri"/>
          <w:color w:val="000000" w:themeColor="text1"/>
          <w:sz w:val="24"/>
          <w:szCs w:val="24"/>
        </w:rPr>
        <w:lastRenderedPageBreak/>
        <w:t xml:space="preserve">below (figure 1). Of those that reported that they seriously consider leaving the specialty daily, this was highest for doctors at ST5 level (figure 2). </w:t>
      </w:r>
    </w:p>
    <w:p w:rsidR="4C9258E6" w:rsidP="3A232ED9" w:rsidRDefault="4C9258E6" w14:paraId="2909E8CC" w14:textId="1713A3CD">
      <w:pPr>
        <w:spacing w:after="0" w:line="276" w:lineRule="auto"/>
        <w:rPr>
          <w:rFonts w:ascii="Aptos" w:hAnsi="Aptos" w:eastAsia="Aptos" w:cs="Aptos"/>
          <w:color w:val="000000" w:themeColor="text1"/>
          <w:sz w:val="24"/>
          <w:szCs w:val="24"/>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3113"/>
        <w:gridCol w:w="1616"/>
        <w:gridCol w:w="1616"/>
        <w:gridCol w:w="2665"/>
      </w:tblGrid>
      <w:tr w:rsidR="3A232ED9" w:rsidTr="3A232ED9" w14:paraId="61544FBA" w14:textId="77777777">
        <w:trPr>
          <w:trHeight w:val="285"/>
        </w:trPr>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232ED9" w:rsidP="3A232ED9" w:rsidRDefault="3A232ED9" w14:paraId="191F5C3F" w14:textId="1CE44423">
            <w:pPr>
              <w:spacing w:after="0"/>
              <w:rPr>
                <w:rFonts w:ascii="Calibri" w:hAnsi="Calibri" w:eastAsia="Calibri" w:cs="Calibri"/>
                <w:color w:val="002060"/>
                <w:sz w:val="24"/>
                <w:szCs w:val="24"/>
              </w:rPr>
            </w:pPr>
            <w:r w:rsidRPr="3A232ED9">
              <w:rPr>
                <w:rFonts w:ascii="Calibri" w:hAnsi="Calibri" w:eastAsia="Calibri" w:cs="Calibri"/>
                <w:b/>
                <w:bCs/>
                <w:color w:val="002060"/>
                <w:sz w:val="24"/>
                <w:szCs w:val="24"/>
              </w:rPr>
              <w:t>Frequency of intention to leave</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232ED9" w:rsidP="3A232ED9" w:rsidRDefault="3A232ED9" w14:paraId="02660AD2" w14:textId="67E9E873">
            <w:pPr>
              <w:spacing w:after="0"/>
              <w:jc w:val="center"/>
              <w:rPr>
                <w:rFonts w:ascii="Calibri" w:hAnsi="Calibri" w:eastAsia="Calibri" w:cs="Calibri"/>
                <w:color w:val="002060"/>
                <w:sz w:val="24"/>
                <w:szCs w:val="24"/>
              </w:rPr>
            </w:pPr>
            <w:r w:rsidRPr="3A232ED9">
              <w:rPr>
                <w:rFonts w:ascii="Calibri" w:hAnsi="Calibri" w:eastAsia="Calibri" w:cs="Calibri"/>
                <w:b/>
                <w:bCs/>
                <w:color w:val="002060"/>
                <w:sz w:val="24"/>
                <w:szCs w:val="24"/>
              </w:rPr>
              <w:t>2025</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232ED9" w:rsidP="3A232ED9" w:rsidRDefault="3A232ED9" w14:paraId="2A3B56A3" w14:textId="24B320D9">
            <w:pPr>
              <w:spacing w:after="0"/>
              <w:jc w:val="center"/>
              <w:rPr>
                <w:rFonts w:ascii="Calibri" w:hAnsi="Calibri" w:eastAsia="Calibri" w:cs="Calibri"/>
                <w:color w:val="002060"/>
                <w:sz w:val="24"/>
                <w:szCs w:val="24"/>
              </w:rPr>
            </w:pPr>
            <w:r w:rsidRPr="3A232ED9">
              <w:rPr>
                <w:rFonts w:ascii="Calibri" w:hAnsi="Calibri" w:eastAsia="Calibri" w:cs="Calibri"/>
                <w:b/>
                <w:bCs/>
                <w:color w:val="002060"/>
                <w:sz w:val="24"/>
                <w:szCs w:val="24"/>
              </w:rPr>
              <w:t>2024</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vAlign w:val="center"/>
          </w:tcPr>
          <w:p w:rsidR="3A232ED9" w:rsidP="3A232ED9" w:rsidRDefault="3A232ED9" w14:paraId="1F4A2EAA" w14:textId="467A2EB0">
            <w:pPr>
              <w:spacing w:after="0"/>
              <w:jc w:val="center"/>
              <w:rPr>
                <w:rFonts w:ascii="Calibri" w:hAnsi="Calibri" w:eastAsia="Calibri" w:cs="Calibri"/>
                <w:color w:val="002060"/>
                <w:sz w:val="24"/>
                <w:szCs w:val="24"/>
              </w:rPr>
            </w:pPr>
            <w:r w:rsidRPr="3A232ED9">
              <w:rPr>
                <w:rFonts w:ascii="Calibri" w:hAnsi="Calibri" w:eastAsia="Calibri" w:cs="Calibri"/>
                <w:b/>
                <w:bCs/>
                <w:color w:val="002060"/>
                <w:sz w:val="24"/>
                <w:szCs w:val="24"/>
              </w:rPr>
              <w:t>Percentage difference</w:t>
            </w:r>
          </w:p>
        </w:tc>
      </w:tr>
      <w:tr w:rsidR="3A232ED9" w:rsidTr="3A232ED9" w14:paraId="2B74BABB" w14:textId="77777777">
        <w:trPr>
          <w:trHeight w:val="285"/>
        </w:trPr>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5A53CB1" w14:textId="21DC1FA3">
            <w:pPr>
              <w:spacing w:after="0"/>
              <w:rPr>
                <w:rFonts w:ascii="Calibri" w:hAnsi="Calibri" w:eastAsia="Calibri" w:cs="Calibri"/>
                <w:sz w:val="24"/>
                <w:szCs w:val="24"/>
              </w:rPr>
            </w:pPr>
            <w:r w:rsidRPr="3A232ED9">
              <w:rPr>
                <w:rFonts w:ascii="Calibri" w:hAnsi="Calibri" w:eastAsia="Calibri" w:cs="Calibri"/>
                <w:sz w:val="24"/>
                <w:szCs w:val="24"/>
              </w:rPr>
              <w:t xml:space="preserve">Daily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222DBE44" w14:textId="1E1D85F5">
            <w:pPr>
              <w:spacing w:after="0"/>
              <w:jc w:val="center"/>
              <w:rPr>
                <w:rFonts w:ascii="Calibri" w:hAnsi="Calibri" w:eastAsia="Calibri" w:cs="Calibri"/>
                <w:sz w:val="24"/>
                <w:szCs w:val="24"/>
              </w:rPr>
            </w:pPr>
            <w:r w:rsidRPr="3A232ED9">
              <w:rPr>
                <w:rFonts w:ascii="Calibri" w:hAnsi="Calibri" w:eastAsia="Calibri" w:cs="Calibri"/>
                <w:sz w:val="24"/>
                <w:szCs w:val="24"/>
              </w:rPr>
              <w:t>2%</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CDAAB62" w14:textId="05576EB1">
            <w:pPr>
              <w:spacing w:after="0"/>
              <w:jc w:val="center"/>
              <w:rPr>
                <w:rFonts w:ascii="Calibri" w:hAnsi="Calibri" w:eastAsia="Calibri" w:cs="Calibri"/>
                <w:sz w:val="24"/>
                <w:szCs w:val="24"/>
              </w:rPr>
            </w:pPr>
            <w:r w:rsidRPr="3A232ED9">
              <w:rPr>
                <w:rFonts w:ascii="Calibri" w:hAnsi="Calibri" w:eastAsia="Calibri" w:cs="Calibri"/>
                <w:sz w:val="24"/>
                <w:szCs w:val="24"/>
              </w:rPr>
              <w:t>3%</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1A260E3D" w14:textId="594702E1">
            <w:pPr>
              <w:spacing w:after="0"/>
              <w:jc w:val="center"/>
              <w:rPr>
                <w:rFonts w:ascii="Calibri" w:hAnsi="Calibri" w:eastAsia="Calibri" w:cs="Calibri"/>
                <w:sz w:val="24"/>
                <w:szCs w:val="24"/>
              </w:rPr>
            </w:pPr>
            <w:r w:rsidRPr="3A232ED9">
              <w:rPr>
                <w:rFonts w:ascii="Calibri" w:hAnsi="Calibri" w:eastAsia="Calibri" w:cs="Calibri"/>
                <w:sz w:val="24"/>
                <w:szCs w:val="24"/>
              </w:rPr>
              <w:t>-1</w:t>
            </w:r>
          </w:p>
        </w:tc>
      </w:tr>
      <w:tr w:rsidR="3A232ED9" w:rsidTr="3A232ED9" w14:paraId="39EB41E8" w14:textId="77777777">
        <w:trPr>
          <w:trHeight w:val="285"/>
        </w:trPr>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9AF475D" w14:textId="608DBBB1">
            <w:pPr>
              <w:spacing w:after="0"/>
              <w:rPr>
                <w:rFonts w:ascii="Calibri" w:hAnsi="Calibri" w:eastAsia="Calibri" w:cs="Calibri"/>
                <w:sz w:val="24"/>
                <w:szCs w:val="24"/>
              </w:rPr>
            </w:pPr>
            <w:r w:rsidRPr="3A232ED9">
              <w:rPr>
                <w:rFonts w:ascii="Calibri" w:hAnsi="Calibri" w:eastAsia="Calibri" w:cs="Calibri"/>
                <w:sz w:val="24"/>
                <w:szCs w:val="24"/>
              </w:rPr>
              <w:t xml:space="preserve">Weekly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08B7CCED" w14:textId="2C4C6D64">
            <w:pPr>
              <w:spacing w:after="0"/>
              <w:jc w:val="center"/>
              <w:rPr>
                <w:rFonts w:ascii="Calibri" w:hAnsi="Calibri" w:eastAsia="Calibri" w:cs="Calibri"/>
                <w:sz w:val="24"/>
                <w:szCs w:val="24"/>
              </w:rPr>
            </w:pPr>
            <w:r w:rsidRPr="3A232ED9">
              <w:rPr>
                <w:rFonts w:ascii="Calibri" w:hAnsi="Calibri" w:eastAsia="Calibri" w:cs="Calibri"/>
                <w:sz w:val="24"/>
                <w:szCs w:val="24"/>
              </w:rPr>
              <w:t>7%</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0D6205B" w14:textId="53709482">
            <w:pPr>
              <w:spacing w:after="0"/>
              <w:jc w:val="center"/>
              <w:rPr>
                <w:rFonts w:ascii="Calibri" w:hAnsi="Calibri" w:eastAsia="Calibri" w:cs="Calibri"/>
                <w:sz w:val="24"/>
                <w:szCs w:val="24"/>
              </w:rPr>
            </w:pPr>
            <w:r w:rsidRPr="3A232ED9">
              <w:rPr>
                <w:rFonts w:ascii="Calibri" w:hAnsi="Calibri" w:eastAsia="Calibri" w:cs="Calibri"/>
                <w:sz w:val="24"/>
                <w:szCs w:val="24"/>
              </w:rPr>
              <w:t>7%</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1FB8CAF9" w14:textId="29A2C917">
            <w:pPr>
              <w:spacing w:after="0"/>
              <w:jc w:val="center"/>
              <w:rPr>
                <w:rFonts w:ascii="Calibri" w:hAnsi="Calibri" w:eastAsia="Calibri" w:cs="Calibri"/>
                <w:sz w:val="24"/>
                <w:szCs w:val="24"/>
              </w:rPr>
            </w:pPr>
            <w:r w:rsidRPr="3A232ED9">
              <w:rPr>
                <w:rFonts w:ascii="Calibri" w:hAnsi="Calibri" w:eastAsia="Calibri" w:cs="Calibri"/>
                <w:sz w:val="24"/>
                <w:szCs w:val="24"/>
              </w:rPr>
              <w:t>0</w:t>
            </w:r>
          </w:p>
        </w:tc>
      </w:tr>
      <w:tr w:rsidR="3A232ED9" w:rsidTr="3A232ED9" w14:paraId="09932137" w14:textId="77777777">
        <w:trPr>
          <w:trHeight w:val="285"/>
        </w:trPr>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4BDF0163" w14:textId="56096EEA">
            <w:pPr>
              <w:spacing w:after="0"/>
              <w:rPr>
                <w:rFonts w:ascii="Calibri" w:hAnsi="Calibri" w:eastAsia="Calibri" w:cs="Calibri"/>
                <w:sz w:val="24"/>
                <w:szCs w:val="24"/>
              </w:rPr>
            </w:pPr>
            <w:r w:rsidRPr="3A232ED9">
              <w:rPr>
                <w:rFonts w:ascii="Calibri" w:hAnsi="Calibri" w:eastAsia="Calibri" w:cs="Calibri"/>
                <w:sz w:val="24"/>
                <w:szCs w:val="24"/>
              </w:rPr>
              <w:t xml:space="preserve">Monthly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4FC0EBC" w14:textId="2DC0DA70">
            <w:pPr>
              <w:spacing w:after="0"/>
              <w:jc w:val="center"/>
              <w:rPr>
                <w:rFonts w:ascii="Calibri" w:hAnsi="Calibri" w:eastAsia="Calibri" w:cs="Calibri"/>
                <w:sz w:val="24"/>
                <w:szCs w:val="24"/>
              </w:rPr>
            </w:pPr>
            <w:r w:rsidRPr="3A232ED9">
              <w:rPr>
                <w:rFonts w:ascii="Calibri" w:hAnsi="Calibri" w:eastAsia="Calibri" w:cs="Calibri"/>
                <w:sz w:val="24"/>
                <w:szCs w:val="24"/>
              </w:rPr>
              <w:t>11%</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16DC01D3" w14:textId="1AF1992D">
            <w:pPr>
              <w:spacing w:after="0"/>
              <w:jc w:val="center"/>
              <w:rPr>
                <w:rFonts w:ascii="Calibri" w:hAnsi="Calibri" w:eastAsia="Calibri" w:cs="Calibri"/>
                <w:sz w:val="24"/>
                <w:szCs w:val="24"/>
              </w:rPr>
            </w:pPr>
            <w:r w:rsidRPr="3A232ED9">
              <w:rPr>
                <w:rFonts w:ascii="Calibri" w:hAnsi="Calibri" w:eastAsia="Calibri" w:cs="Calibri"/>
                <w:sz w:val="24"/>
                <w:szCs w:val="24"/>
              </w:rPr>
              <w:t>13%</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4A5147B" w14:textId="4229FA83">
            <w:pPr>
              <w:spacing w:after="0"/>
              <w:jc w:val="center"/>
              <w:rPr>
                <w:rFonts w:ascii="Calibri" w:hAnsi="Calibri" w:eastAsia="Calibri" w:cs="Calibri"/>
                <w:sz w:val="24"/>
                <w:szCs w:val="24"/>
              </w:rPr>
            </w:pPr>
            <w:r w:rsidRPr="3A232ED9">
              <w:rPr>
                <w:rFonts w:ascii="Calibri" w:hAnsi="Calibri" w:eastAsia="Calibri" w:cs="Calibri"/>
                <w:sz w:val="24"/>
                <w:szCs w:val="24"/>
              </w:rPr>
              <w:t>-2</w:t>
            </w:r>
          </w:p>
        </w:tc>
      </w:tr>
      <w:tr w:rsidR="3A232ED9" w:rsidTr="3A232ED9" w14:paraId="4598C5EC" w14:textId="77777777">
        <w:trPr>
          <w:trHeight w:val="285"/>
        </w:trPr>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1CDEEAB3" w14:textId="1E5F428A">
            <w:pPr>
              <w:spacing w:after="0"/>
              <w:rPr>
                <w:rFonts w:ascii="Calibri" w:hAnsi="Calibri" w:eastAsia="Calibri" w:cs="Calibri"/>
                <w:sz w:val="24"/>
                <w:szCs w:val="24"/>
              </w:rPr>
            </w:pPr>
            <w:r w:rsidRPr="3A232ED9">
              <w:rPr>
                <w:rFonts w:ascii="Calibri" w:hAnsi="Calibri" w:eastAsia="Calibri" w:cs="Calibri"/>
                <w:sz w:val="24"/>
                <w:szCs w:val="24"/>
              </w:rPr>
              <w:t xml:space="preserve">Occasionally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427C5FBA" w14:textId="1B2B04BB">
            <w:pPr>
              <w:spacing w:after="0"/>
              <w:jc w:val="center"/>
              <w:rPr>
                <w:rFonts w:ascii="Calibri" w:hAnsi="Calibri" w:eastAsia="Calibri" w:cs="Calibri"/>
                <w:sz w:val="24"/>
                <w:szCs w:val="24"/>
              </w:rPr>
            </w:pPr>
            <w:r w:rsidRPr="3A232ED9">
              <w:rPr>
                <w:rFonts w:ascii="Calibri" w:hAnsi="Calibri" w:eastAsia="Calibri" w:cs="Calibri"/>
                <w:sz w:val="24"/>
                <w:szCs w:val="24"/>
              </w:rPr>
              <w:t>45%</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72E4A59" w14:textId="75D1C5CB">
            <w:pPr>
              <w:spacing w:after="0"/>
              <w:jc w:val="center"/>
              <w:rPr>
                <w:rFonts w:ascii="Calibri" w:hAnsi="Calibri" w:eastAsia="Calibri" w:cs="Calibri"/>
                <w:sz w:val="24"/>
                <w:szCs w:val="24"/>
              </w:rPr>
            </w:pPr>
            <w:r w:rsidRPr="3A232ED9">
              <w:rPr>
                <w:rFonts w:ascii="Calibri" w:hAnsi="Calibri" w:eastAsia="Calibri" w:cs="Calibri"/>
                <w:sz w:val="24"/>
                <w:szCs w:val="24"/>
              </w:rPr>
              <w:t>45%</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DA67939" w14:textId="422EE8DE">
            <w:pPr>
              <w:spacing w:after="0"/>
              <w:jc w:val="center"/>
              <w:rPr>
                <w:rFonts w:ascii="Calibri" w:hAnsi="Calibri" w:eastAsia="Calibri" w:cs="Calibri"/>
                <w:sz w:val="24"/>
                <w:szCs w:val="24"/>
              </w:rPr>
            </w:pPr>
            <w:r w:rsidRPr="3A232ED9">
              <w:rPr>
                <w:rFonts w:ascii="Calibri" w:hAnsi="Calibri" w:eastAsia="Calibri" w:cs="Calibri"/>
                <w:sz w:val="24"/>
                <w:szCs w:val="24"/>
              </w:rPr>
              <w:t>0</w:t>
            </w:r>
          </w:p>
        </w:tc>
      </w:tr>
      <w:tr w:rsidR="3A232ED9" w:rsidTr="3A232ED9" w14:paraId="4AD7460E" w14:textId="77777777">
        <w:trPr>
          <w:trHeight w:val="285"/>
        </w:trPr>
        <w:tc>
          <w:tcPr>
            <w:tcW w:w="31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30C2AC6D" w14:textId="06A6EF7D">
            <w:pPr>
              <w:spacing w:after="0"/>
              <w:rPr>
                <w:rFonts w:ascii="Calibri" w:hAnsi="Calibri" w:eastAsia="Calibri" w:cs="Calibri"/>
                <w:sz w:val="24"/>
                <w:szCs w:val="24"/>
              </w:rPr>
            </w:pPr>
            <w:r w:rsidRPr="3A232ED9">
              <w:rPr>
                <w:rFonts w:ascii="Calibri" w:hAnsi="Calibri" w:eastAsia="Calibri" w:cs="Calibri"/>
                <w:sz w:val="24"/>
                <w:szCs w:val="24"/>
              </w:rPr>
              <w:t xml:space="preserve">Never </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6D8A738" w14:textId="6F975A15">
            <w:pPr>
              <w:spacing w:after="0"/>
              <w:jc w:val="center"/>
              <w:rPr>
                <w:rFonts w:ascii="Calibri" w:hAnsi="Calibri" w:eastAsia="Calibri" w:cs="Calibri"/>
                <w:sz w:val="24"/>
                <w:szCs w:val="24"/>
              </w:rPr>
            </w:pPr>
            <w:r w:rsidRPr="3A232ED9">
              <w:rPr>
                <w:rFonts w:ascii="Calibri" w:hAnsi="Calibri" w:eastAsia="Calibri" w:cs="Calibri"/>
                <w:sz w:val="24"/>
                <w:szCs w:val="24"/>
              </w:rPr>
              <w:t>33%</w:t>
            </w:r>
          </w:p>
        </w:tc>
        <w:tc>
          <w:tcPr>
            <w:tcW w:w="162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19E1BDF" w14:textId="763B2ABD">
            <w:pPr>
              <w:spacing w:after="0"/>
              <w:jc w:val="center"/>
              <w:rPr>
                <w:rFonts w:ascii="Calibri" w:hAnsi="Calibri" w:eastAsia="Calibri" w:cs="Calibri"/>
                <w:sz w:val="24"/>
                <w:szCs w:val="24"/>
              </w:rPr>
            </w:pPr>
            <w:r w:rsidRPr="3A232ED9">
              <w:rPr>
                <w:rFonts w:ascii="Calibri" w:hAnsi="Calibri" w:eastAsia="Calibri" w:cs="Calibri"/>
                <w:sz w:val="24"/>
                <w:szCs w:val="24"/>
              </w:rPr>
              <w:t>32%</w:t>
            </w:r>
          </w:p>
        </w:tc>
        <w:tc>
          <w:tcPr>
            <w:tcW w:w="267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0AC7D8D" w14:textId="016D067E">
            <w:pPr>
              <w:spacing w:after="0"/>
              <w:jc w:val="center"/>
              <w:rPr>
                <w:rFonts w:ascii="Calibri" w:hAnsi="Calibri" w:eastAsia="Calibri" w:cs="Calibri"/>
                <w:sz w:val="24"/>
                <w:szCs w:val="24"/>
              </w:rPr>
            </w:pPr>
            <w:r w:rsidRPr="3A232ED9">
              <w:rPr>
                <w:rFonts w:ascii="Calibri" w:hAnsi="Calibri" w:eastAsia="Calibri" w:cs="Calibri"/>
                <w:sz w:val="24"/>
                <w:szCs w:val="24"/>
              </w:rPr>
              <w:t>+1</w:t>
            </w:r>
          </w:p>
        </w:tc>
      </w:tr>
    </w:tbl>
    <w:p w:rsidR="4C9258E6" w:rsidP="3A232ED9" w:rsidRDefault="7C54500E" w14:paraId="1A62E7C0" w14:textId="1E68A398">
      <w:pPr>
        <w:spacing w:after="0"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 </w:t>
      </w:r>
      <w:r w:rsidRPr="3A232ED9">
        <w:rPr>
          <w:rFonts w:ascii="Calibri" w:hAnsi="Calibri" w:eastAsia="Calibri" w:cs="Calibri"/>
          <w:b/>
          <w:bCs/>
          <w:i/>
          <w:iCs/>
          <w:color w:val="000000" w:themeColor="text1"/>
          <w:sz w:val="24"/>
          <w:szCs w:val="24"/>
        </w:rPr>
        <w:t>Figure 1 Intention to leave speciality –overall numbers</w:t>
      </w:r>
    </w:p>
    <w:p w:rsidR="4C9258E6" w:rsidP="3A232ED9" w:rsidRDefault="4C9258E6" w14:paraId="2847BB46" w14:textId="465CED44">
      <w:pPr>
        <w:spacing w:after="0" w:line="276" w:lineRule="auto"/>
        <w:rPr>
          <w:rFonts w:ascii="Calibri" w:hAnsi="Calibri" w:eastAsia="Calibri" w:cs="Calibri"/>
          <w:color w:val="000000" w:themeColor="text1"/>
          <w:sz w:val="24"/>
          <w:szCs w:val="24"/>
        </w:rPr>
      </w:pPr>
    </w:p>
    <w:p w:rsidR="4C9258E6" w:rsidP="3A232ED9" w:rsidRDefault="7C54500E" w14:paraId="5569099B" w14:textId="72CD83AA">
      <w:pPr>
        <w:spacing w:after="0" w:line="276" w:lineRule="auto"/>
        <w:rPr>
          <w:rFonts w:ascii="Aptos" w:hAnsi="Aptos" w:eastAsia="Aptos" w:cs="Aptos"/>
          <w:color w:val="000000" w:themeColor="text1"/>
          <w:sz w:val="24"/>
          <w:szCs w:val="24"/>
        </w:rPr>
      </w:pPr>
      <w:r>
        <w:rPr>
          <w:noProof/>
        </w:rPr>
        <w:drawing>
          <wp:inline distT="0" distB="0" distL="0" distR="0" wp14:anchorId="62C13B08" wp14:editId="78509B6D">
            <wp:extent cx="5743575" cy="2619375"/>
            <wp:effectExtent l="0" t="0" r="0" b="0"/>
            <wp:docPr id="795005238" name="drawing" title="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05238" name="Picture 795005238"/>
                    <pic:cNvPicPr/>
                  </pic:nvPicPr>
                  <pic:blipFill>
                    <a:blip r:embed="rId12">
                      <a:extLst>
                        <a:ext uri="{28A0092B-C50C-407E-A947-70E740481C1C}">
                          <a14:useLocalDpi xmlns:a14="http://schemas.microsoft.com/office/drawing/2010/main"/>
                        </a:ext>
                      </a:extLst>
                    </a:blip>
                    <a:stretch>
                      <a:fillRect/>
                    </a:stretch>
                  </pic:blipFill>
                  <pic:spPr>
                    <a:xfrm>
                      <a:off x="0" y="0"/>
                      <a:ext cx="5743575" cy="2619375"/>
                    </a:xfrm>
                    <a:prstGeom prst="rect">
                      <a:avLst/>
                    </a:prstGeom>
                  </pic:spPr>
                </pic:pic>
              </a:graphicData>
            </a:graphic>
          </wp:inline>
        </w:drawing>
      </w:r>
    </w:p>
    <w:p w:rsidR="4C9258E6" w:rsidP="3A232ED9" w:rsidRDefault="7C54500E" w14:paraId="5E1663D4" w14:textId="7AA8F285">
      <w:pPr>
        <w:spacing w:after="0" w:line="276" w:lineRule="auto"/>
        <w:rPr>
          <w:rFonts w:ascii="Calibri" w:hAnsi="Calibri" w:eastAsia="Calibri" w:cs="Calibri"/>
          <w:color w:val="000000" w:themeColor="text1"/>
          <w:sz w:val="24"/>
          <w:szCs w:val="24"/>
        </w:rPr>
      </w:pPr>
      <w:r w:rsidRPr="3A232ED9">
        <w:rPr>
          <w:rFonts w:ascii="Calibri" w:hAnsi="Calibri" w:eastAsia="Calibri" w:cs="Calibri"/>
          <w:b/>
          <w:bCs/>
          <w:i/>
          <w:iCs/>
          <w:color w:val="000000" w:themeColor="text1"/>
          <w:sz w:val="24"/>
          <w:szCs w:val="24"/>
        </w:rPr>
        <w:t>Figure 2 – Intention to leave speciality across levels of training</w:t>
      </w:r>
    </w:p>
    <w:p w:rsidR="4C9258E6" w:rsidP="3A232ED9" w:rsidRDefault="4C9258E6" w14:paraId="697C3C68" w14:textId="55A4FBA4">
      <w:pPr>
        <w:spacing w:after="0" w:line="276" w:lineRule="auto"/>
        <w:rPr>
          <w:rFonts w:ascii="Calibri" w:hAnsi="Calibri" w:eastAsia="Calibri" w:cs="Calibri"/>
          <w:color w:val="000000" w:themeColor="text1"/>
          <w:sz w:val="24"/>
          <w:szCs w:val="24"/>
        </w:rPr>
      </w:pPr>
    </w:p>
    <w:p w:rsidR="4C9258E6" w:rsidP="3A232ED9" w:rsidRDefault="7C54500E" w14:paraId="799D5EFA" w14:textId="203B1F00">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When considering the reasons selected for intention to leave the specialty, it is important to note that respondents were able to select all reasons which were applicable to them.</w:t>
      </w:r>
    </w:p>
    <w:p w:rsidR="4C9258E6" w:rsidP="3A232ED9" w:rsidRDefault="4C9258E6" w14:paraId="5199A2D1" w14:textId="0653DBD1">
      <w:pPr>
        <w:spacing w:after="0" w:line="276" w:lineRule="auto"/>
        <w:jc w:val="both"/>
        <w:rPr>
          <w:rFonts w:ascii="Calibri" w:hAnsi="Calibri" w:eastAsia="Calibri" w:cs="Calibri"/>
          <w:color w:val="000000" w:themeColor="text1"/>
          <w:sz w:val="24"/>
          <w:szCs w:val="24"/>
        </w:rPr>
      </w:pPr>
    </w:p>
    <w:p w:rsidR="4C9258E6" w:rsidP="3A232ED9" w:rsidRDefault="7C54500E" w14:paraId="55692B8A" w14:textId="63FE2E2E">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Across all respondents who expressed that they are seriously considering leaving the specialty, the most common reason given was lack of work-life balance (46.6%) (figure 3). This was followed by long working hours (35.8%), intense workload (35.6%), stress (30.5%) and shift working (28.6%). It is clear from this question that many trainees are struggling with their current shift patterns and 23.4% of respondents recognised that rota gaps were a contributing factor to intention to leave. </w:t>
      </w:r>
    </w:p>
    <w:p w:rsidR="4C9258E6" w:rsidP="3A232ED9" w:rsidRDefault="4C9258E6" w14:paraId="464E9E09" w14:textId="64A6262D">
      <w:pPr>
        <w:spacing w:after="0" w:line="276" w:lineRule="auto"/>
        <w:jc w:val="both"/>
        <w:rPr>
          <w:rFonts w:ascii="Calibri" w:hAnsi="Calibri" w:eastAsia="Calibri" w:cs="Calibri"/>
          <w:color w:val="000000" w:themeColor="text1"/>
          <w:sz w:val="24"/>
          <w:szCs w:val="24"/>
        </w:rPr>
      </w:pPr>
    </w:p>
    <w:p w:rsidR="4C9258E6" w:rsidP="3A232ED9" w:rsidRDefault="7C54500E" w14:paraId="01A6AC8F" w14:textId="63F61B5B">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When compared to the 2024 TEF responses, the most common reasons for considering leaving the speciality remain similar, suggesting that there remains scope for improvement regarding reducing rota gaps and workload, and improving trainees’ work-life balance.</w:t>
      </w:r>
    </w:p>
    <w:p w:rsidR="4C9258E6" w:rsidP="3A232ED9" w:rsidRDefault="4C9258E6" w14:paraId="799739EE" w14:textId="7EAB584A">
      <w:pPr>
        <w:spacing w:after="0" w:line="276" w:lineRule="auto"/>
        <w:jc w:val="both"/>
        <w:rPr>
          <w:rFonts w:ascii="Calibri" w:hAnsi="Calibri" w:eastAsia="Calibri" w:cs="Calibri"/>
          <w:color w:val="000000" w:themeColor="text1"/>
          <w:sz w:val="24"/>
          <w:szCs w:val="24"/>
        </w:rPr>
      </w:pPr>
    </w:p>
    <w:p w:rsidR="4C9258E6" w:rsidP="3A232ED9" w:rsidRDefault="7C54500E" w14:paraId="76EDB470" w14:textId="4FC05ADF">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lastRenderedPageBreak/>
        <w:t xml:space="preserve">Although the most common reasons for considering leaving O&amp;G have been considered above, there are some other selected factors which could seriously implicate an individual’s mental health and well-being. 6.4% of trainees cited lack of pastoral support, 3.4% cited poor educational support, 3.2% stated that there were no opportunities to debrief after a significant event and 2.5% of respondents cited racism as a reason for considering leaving the speciality. Reassuringly these numbers are relatively low, but these factors are important to consider. As discussed in the 2022 RCOG Workforce Report, meeting psychological needs is paramount to providing a supportive working environment, therefore it is crucial that ways to improve doctor support is further considered. </w:t>
      </w:r>
    </w:p>
    <w:p w:rsidR="4C9258E6" w:rsidP="3A232ED9" w:rsidRDefault="7C54500E" w14:paraId="066FB52D" w14:textId="1C01B04A">
      <w:pPr>
        <w:spacing w:after="0" w:line="276" w:lineRule="auto"/>
        <w:rPr>
          <w:rFonts w:ascii="Calibri" w:hAnsi="Calibri" w:eastAsia="Calibri" w:cs="Calibri"/>
          <w:color w:val="000000" w:themeColor="text1"/>
          <w:sz w:val="24"/>
          <w:szCs w:val="24"/>
        </w:rPr>
      </w:pPr>
      <w:r>
        <w:rPr>
          <w:noProof/>
        </w:rPr>
        <w:drawing>
          <wp:inline distT="0" distB="0" distL="0" distR="0" wp14:anchorId="07BA24D0" wp14:editId="243C4EF3">
            <wp:extent cx="5734050" cy="2895600"/>
            <wp:effectExtent l="0" t="0" r="0" b="0"/>
            <wp:docPr id="1712333426" name="drawing" title="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33426" name="Picture 1712333426"/>
                    <pic:cNvPicPr/>
                  </pic:nvPicPr>
                  <pic:blipFill>
                    <a:blip r:embed="rId13">
                      <a:extLst>
                        <a:ext uri="{28A0092B-C50C-407E-A947-70E740481C1C}">
                          <a14:useLocalDpi xmlns:a14="http://schemas.microsoft.com/office/drawing/2010/main"/>
                        </a:ext>
                      </a:extLst>
                    </a:blip>
                    <a:stretch>
                      <a:fillRect/>
                    </a:stretch>
                  </pic:blipFill>
                  <pic:spPr>
                    <a:xfrm>
                      <a:off x="0" y="0"/>
                      <a:ext cx="5734050" cy="2895600"/>
                    </a:xfrm>
                    <a:prstGeom prst="rect">
                      <a:avLst/>
                    </a:prstGeom>
                  </pic:spPr>
                </pic:pic>
              </a:graphicData>
            </a:graphic>
          </wp:inline>
        </w:drawing>
      </w:r>
      <w:r w:rsidRPr="3A232ED9">
        <w:rPr>
          <w:rFonts w:ascii="Calibri" w:hAnsi="Calibri" w:eastAsia="Calibri" w:cs="Calibri"/>
          <w:i/>
          <w:iCs/>
          <w:color w:val="000000" w:themeColor="text1"/>
          <w:sz w:val="24"/>
          <w:szCs w:val="24"/>
        </w:rPr>
        <w:t xml:space="preserve">Figure 3 - Reasons given for leaving speciality – all doctors. </w:t>
      </w:r>
    </w:p>
    <w:p w:rsidR="4C9258E6" w:rsidP="3A232ED9" w:rsidRDefault="7C54500E" w14:paraId="77EAD088" w14:textId="1E7F9FF2">
      <w:pPr>
        <w:spacing w:line="257" w:lineRule="auto"/>
        <w:rPr>
          <w:rFonts w:ascii="Calibri" w:hAnsi="Calibri" w:eastAsia="Calibri" w:cs="Calibri"/>
          <w:color w:val="007CBA"/>
          <w:sz w:val="36"/>
          <w:szCs w:val="36"/>
        </w:rPr>
      </w:pPr>
      <w:r w:rsidRPr="3A232ED9">
        <w:rPr>
          <w:rFonts w:ascii="Calibri" w:hAnsi="Calibri" w:eastAsia="Calibri" w:cs="Calibri"/>
          <w:color w:val="007CBA"/>
          <w:sz w:val="36"/>
          <w:szCs w:val="36"/>
        </w:rPr>
        <w:t xml:space="preserve"> </w:t>
      </w:r>
    </w:p>
    <w:p w:rsidR="4C9258E6" w:rsidP="3A232ED9" w:rsidRDefault="7C54500E" w14:paraId="521146A9" w14:textId="33BBF3A8">
      <w:pPr>
        <w:pStyle w:val="Heading2"/>
        <w:spacing w:line="276" w:lineRule="auto"/>
        <w:rPr>
          <w:rFonts w:ascii="Calibri" w:hAnsi="Calibri" w:eastAsia="Calibri" w:cs="Calibri"/>
          <w:color w:val="002060"/>
          <w:sz w:val="24"/>
          <w:szCs w:val="24"/>
        </w:rPr>
      </w:pPr>
      <w:bookmarkStart w:name="_Toc1028423125" w:id="1633899293"/>
      <w:r w:rsidRPr="2FF77C75" w:rsidR="7C54500E">
        <w:rPr>
          <w:rFonts w:ascii="Calibri" w:hAnsi="Calibri" w:eastAsia="Calibri" w:cs="Calibri"/>
          <w:b w:val="1"/>
          <w:bCs w:val="1"/>
          <w:color w:val="002060"/>
          <w:sz w:val="24"/>
          <w:szCs w:val="24"/>
        </w:rPr>
        <w:t>Working patterns, rotas and working conditions</w:t>
      </w:r>
      <w:bookmarkEnd w:id="1633899293"/>
    </w:p>
    <w:p w:rsidR="4C9258E6" w:rsidP="3A232ED9" w:rsidRDefault="7C54500E" w14:paraId="124ABD45" w14:textId="291736EB">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Designing rotas for staffing a 24-hour service is challenging, balancing service provision needs in addition to providing sufficient time off after out of hours (OOH) working. As 40.5% of the current O&amp;G trainee workforce work LTFT (figure 4), rota design is becoming increasingly complex taking into consideration both annual and study leave requests in addition to meeting training requirements. It is also noteworthy that most trainees who work LTFT, work at 80%. This is equivalent to almost 40 hours per week, which is considered full-time (10PA) on a consultant or SAS contract. As the number of trainees choosing to work LTFT increases, consideration should be given to expanding the trainee workforce to account for the gaps in the whole time equivalent (WTE). </w:t>
      </w:r>
    </w:p>
    <w:p w:rsidR="4C9258E6" w:rsidP="3A232ED9" w:rsidRDefault="4C9258E6" w14:paraId="7E0C7790" w14:textId="1EA4789C">
      <w:pPr>
        <w:spacing w:after="0" w:line="276" w:lineRule="auto"/>
        <w:jc w:val="both"/>
        <w:rPr>
          <w:rFonts w:ascii="Calibri" w:hAnsi="Calibri" w:eastAsia="Calibri" w:cs="Calibri"/>
          <w:color w:val="000000" w:themeColor="text1"/>
          <w:sz w:val="24"/>
          <w:szCs w:val="24"/>
        </w:rPr>
      </w:pPr>
    </w:p>
    <w:p w:rsidR="4C9258E6" w:rsidP="3A232ED9" w:rsidRDefault="7C54500E" w14:paraId="05756543" w14:textId="151B3B00">
      <w:pPr>
        <w:spacing w:line="257" w:lineRule="auto"/>
        <w:rPr>
          <w:rFonts w:ascii="Calibri" w:hAnsi="Calibri" w:eastAsia="Calibri" w:cs="Calibri"/>
          <w:color w:val="000000" w:themeColor="text1"/>
          <w:sz w:val="24"/>
          <w:szCs w:val="24"/>
        </w:rPr>
      </w:pPr>
      <w:r>
        <w:rPr>
          <w:noProof/>
        </w:rPr>
        <w:lastRenderedPageBreak/>
        <w:drawing>
          <wp:inline distT="0" distB="0" distL="0" distR="0" wp14:anchorId="0175367C" wp14:editId="634976DF">
            <wp:extent cx="5638800" cy="2857500"/>
            <wp:effectExtent l="0" t="0" r="0" b="0"/>
            <wp:docPr id="879181083" name="drawing" title="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181083" name="Picture 879181083"/>
                    <pic:cNvPicPr/>
                  </pic:nvPicPr>
                  <pic:blipFill>
                    <a:blip r:embed="rId14">
                      <a:extLst>
                        <a:ext uri="{28A0092B-C50C-407E-A947-70E740481C1C}">
                          <a14:useLocalDpi xmlns:a14="http://schemas.microsoft.com/office/drawing/2010/main"/>
                        </a:ext>
                      </a:extLst>
                    </a:blip>
                    <a:stretch>
                      <a:fillRect/>
                    </a:stretch>
                  </pic:blipFill>
                  <pic:spPr>
                    <a:xfrm>
                      <a:off x="0" y="0"/>
                      <a:ext cx="5638800" cy="2857500"/>
                    </a:xfrm>
                    <a:prstGeom prst="rect">
                      <a:avLst/>
                    </a:prstGeom>
                  </pic:spPr>
                </pic:pic>
              </a:graphicData>
            </a:graphic>
          </wp:inline>
        </w:drawing>
      </w:r>
      <w:r w:rsidRPr="3A232ED9">
        <w:rPr>
          <w:rFonts w:ascii="Calibri" w:hAnsi="Calibri" w:eastAsia="Calibri" w:cs="Calibri"/>
          <w:i/>
          <w:iCs/>
          <w:color w:val="000000" w:themeColor="text1"/>
          <w:sz w:val="24"/>
          <w:szCs w:val="24"/>
        </w:rPr>
        <w:t>Figure 4 - Displaying proportion of trainees working either Full Time or Less than Full Time</w:t>
      </w:r>
    </w:p>
    <w:p w:rsidR="4C9258E6" w:rsidP="3A232ED9" w:rsidRDefault="7C54500E" w14:paraId="1E33A34B" w14:textId="215F8958">
      <w:pPr>
        <w:pStyle w:val="Heading3"/>
        <w:spacing w:line="276" w:lineRule="auto"/>
        <w:rPr>
          <w:rFonts w:ascii="Calibri" w:hAnsi="Calibri" w:eastAsia="Calibri" w:cs="Calibri"/>
          <w:color w:val="002060"/>
          <w:sz w:val="24"/>
          <w:szCs w:val="24"/>
        </w:rPr>
      </w:pPr>
      <w:bookmarkStart w:name="_Toc1726422901" w:id="592759439"/>
      <w:r w:rsidRPr="2FF77C75" w:rsidR="7C54500E">
        <w:rPr>
          <w:rFonts w:ascii="Calibri" w:hAnsi="Calibri" w:eastAsia="Calibri" w:cs="Calibri"/>
          <w:color w:val="002060"/>
          <w:sz w:val="24"/>
          <w:szCs w:val="24"/>
        </w:rPr>
        <w:t>On call frequency</w:t>
      </w:r>
      <w:bookmarkEnd w:id="592759439"/>
      <w:r w:rsidRPr="2FF77C75" w:rsidR="7C54500E">
        <w:rPr>
          <w:rFonts w:ascii="Calibri" w:hAnsi="Calibri" w:eastAsia="Calibri" w:cs="Calibri"/>
          <w:color w:val="002060"/>
          <w:sz w:val="24"/>
          <w:szCs w:val="24"/>
        </w:rPr>
        <w:t xml:space="preserve"> </w:t>
      </w:r>
    </w:p>
    <w:p w:rsidR="4C9258E6" w:rsidP="3A232ED9" w:rsidRDefault="7C54500E" w14:paraId="55DF4B5E" w14:textId="0A6FD0A5">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On call frequency is determined by the number of Whole Time Equivalent (WTE) doctors working at the same tier as the respondent. This means, as an example, that if a unit requires eight full time doctors to staff it then the on-call frequency should be reported as 1 in 8. There is also variation in the frequency of on call shifts worked by LTFT doctors, as some LTFT doctors may work a 100% on call frequency despite being employed at 0.8. </w:t>
      </w:r>
    </w:p>
    <w:p w:rsidR="4C9258E6" w:rsidP="3A232ED9" w:rsidRDefault="7C54500E" w14:paraId="30165DFB" w14:textId="33D0CD80">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 </w:t>
      </w:r>
    </w:p>
    <w:p w:rsidR="4C9258E6" w:rsidP="3A232ED9" w:rsidRDefault="7C54500E" w14:paraId="1BB3F5BD" w14:textId="1473046A">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As there is such a wide variety in on call patterns reported by respondents (figure 5), it is possible that this question has been answered inaccurately. In agreement with the TEF 2024 report,</w:t>
      </w:r>
      <w:r w:rsidRPr="3A232ED9">
        <w:rPr>
          <w:rFonts w:ascii="Calibri" w:hAnsi="Calibri" w:eastAsia="Calibri" w:cs="Calibri"/>
          <w:i/>
          <w:iCs/>
          <w:color w:val="000000" w:themeColor="text1"/>
          <w:sz w:val="24"/>
          <w:szCs w:val="24"/>
        </w:rPr>
        <w:t xml:space="preserve"> </w:t>
      </w:r>
      <w:r w:rsidRPr="3A232ED9">
        <w:rPr>
          <w:rFonts w:ascii="Calibri" w:hAnsi="Calibri" w:eastAsia="Calibri" w:cs="Calibri"/>
          <w:color w:val="000000" w:themeColor="text1"/>
          <w:sz w:val="24"/>
          <w:szCs w:val="24"/>
        </w:rPr>
        <w:t xml:space="preserve">this information could be better gathered from rota co-ordinators who have access to the rota structure. Additionally, if a large proportion of trainees are opting to work LTFT then this raises the question of whether the number of overall trainees should be increased to meet service demands and reduce the number of rota gaps. </w:t>
      </w:r>
    </w:p>
    <w:p w:rsidR="4C9258E6" w:rsidP="3A232ED9" w:rsidRDefault="4C9258E6" w14:paraId="1F8FDE4D" w14:textId="08EA7839">
      <w:pPr>
        <w:spacing w:line="257" w:lineRule="auto"/>
        <w:rPr>
          <w:rFonts w:ascii="Aptos" w:hAnsi="Aptos" w:eastAsia="Aptos" w:cs="Aptos"/>
          <w:color w:val="000000" w:themeColor="text1"/>
          <w:sz w:val="24"/>
          <w:szCs w:val="24"/>
        </w:rPr>
      </w:pPr>
    </w:p>
    <w:p w:rsidR="4C9258E6" w:rsidP="3A232ED9" w:rsidRDefault="7C54500E" w14:paraId="298D3910" w14:textId="23745CB5">
      <w:pPr>
        <w:spacing w:line="257" w:lineRule="auto"/>
        <w:rPr>
          <w:rFonts w:ascii="Calibri" w:hAnsi="Calibri" w:eastAsia="Calibri" w:cs="Calibri"/>
          <w:color w:val="000000" w:themeColor="text1"/>
          <w:sz w:val="24"/>
          <w:szCs w:val="24"/>
        </w:rPr>
      </w:pPr>
      <w:r>
        <w:rPr>
          <w:noProof/>
        </w:rPr>
        <w:lastRenderedPageBreak/>
        <w:drawing>
          <wp:inline distT="0" distB="0" distL="0" distR="0" wp14:anchorId="30BD9703" wp14:editId="0A06525F">
            <wp:extent cx="5743575" cy="3143250"/>
            <wp:effectExtent l="0" t="0" r="0" b="0"/>
            <wp:docPr id="379881852" name="drawing" title="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881852" name="Picture 379881852"/>
                    <pic:cNvPicPr/>
                  </pic:nvPicPr>
                  <pic:blipFill>
                    <a:blip r:embed="rId15">
                      <a:extLst>
                        <a:ext uri="{28A0092B-C50C-407E-A947-70E740481C1C}">
                          <a14:useLocalDpi xmlns:a14="http://schemas.microsoft.com/office/drawing/2010/main"/>
                        </a:ext>
                      </a:extLst>
                    </a:blip>
                    <a:stretch>
                      <a:fillRect/>
                    </a:stretch>
                  </pic:blipFill>
                  <pic:spPr>
                    <a:xfrm>
                      <a:off x="0" y="0"/>
                      <a:ext cx="5743575" cy="3143250"/>
                    </a:xfrm>
                    <a:prstGeom prst="rect">
                      <a:avLst/>
                    </a:prstGeom>
                  </pic:spPr>
                </pic:pic>
              </a:graphicData>
            </a:graphic>
          </wp:inline>
        </w:drawing>
      </w:r>
      <w:r w:rsidRPr="3A232ED9">
        <w:rPr>
          <w:rFonts w:ascii="Calibri" w:hAnsi="Calibri" w:eastAsia="Calibri" w:cs="Calibri"/>
          <w:i/>
          <w:iCs/>
          <w:color w:val="000000" w:themeColor="text1"/>
          <w:sz w:val="24"/>
          <w:szCs w:val="24"/>
        </w:rPr>
        <w:t>Figure 5 – Chart displaying on call frequency.</w:t>
      </w:r>
    </w:p>
    <w:p w:rsidR="4C9258E6" w:rsidP="3A232ED9" w:rsidRDefault="4C9258E6" w14:paraId="36D82A85" w14:textId="1AC85853">
      <w:pPr>
        <w:spacing w:line="257" w:lineRule="auto"/>
        <w:rPr>
          <w:rFonts w:ascii="Calibri" w:hAnsi="Calibri" w:eastAsia="Calibri" w:cs="Calibri"/>
          <w:color w:val="000000" w:themeColor="text1"/>
          <w:sz w:val="24"/>
          <w:szCs w:val="24"/>
        </w:rPr>
      </w:pPr>
    </w:p>
    <w:p w:rsidR="4C9258E6" w:rsidP="3A232ED9" w:rsidRDefault="7C54500E" w14:paraId="40075D64" w14:textId="32BF3767">
      <w:pPr>
        <w:pStyle w:val="Heading3"/>
        <w:spacing w:line="276" w:lineRule="auto"/>
        <w:rPr>
          <w:rFonts w:ascii="Calibri" w:hAnsi="Calibri" w:eastAsia="Calibri" w:cs="Calibri"/>
          <w:color w:val="002060"/>
          <w:sz w:val="24"/>
          <w:szCs w:val="24"/>
        </w:rPr>
      </w:pPr>
      <w:bookmarkStart w:name="_Toc427659930" w:id="732629539"/>
      <w:r w:rsidRPr="2FF77C75" w:rsidR="7C54500E">
        <w:rPr>
          <w:rFonts w:ascii="Calibri" w:hAnsi="Calibri" w:eastAsia="Calibri" w:cs="Calibri"/>
          <w:color w:val="002060"/>
          <w:sz w:val="24"/>
          <w:szCs w:val="24"/>
        </w:rPr>
        <w:t>Nights and weekends</w:t>
      </w:r>
      <w:bookmarkEnd w:id="732629539"/>
    </w:p>
    <w:p w:rsidR="4C9258E6" w:rsidP="3A232ED9" w:rsidRDefault="7C54500E" w14:paraId="27F86142" w14:textId="19ABA2EC">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Most trainees work four consecutive </w:t>
      </w:r>
      <w:r w:rsidRPr="3A232ED9">
        <w:rPr>
          <w:rFonts w:ascii="Calibri" w:hAnsi="Calibri" w:eastAsia="Calibri" w:cs="Calibri"/>
          <w:b/>
          <w:bCs/>
          <w:color w:val="000000" w:themeColor="text1"/>
          <w:sz w:val="24"/>
          <w:szCs w:val="24"/>
        </w:rPr>
        <w:t>weekday nights</w:t>
      </w:r>
      <w:r w:rsidRPr="3A232ED9">
        <w:rPr>
          <w:rFonts w:ascii="Calibri" w:hAnsi="Calibri" w:eastAsia="Calibri" w:cs="Calibri"/>
          <w:color w:val="000000" w:themeColor="text1"/>
          <w:sz w:val="24"/>
          <w:szCs w:val="24"/>
        </w:rPr>
        <w:t xml:space="preserve"> (64%), with 16% working three nights and 15% of trainees working two. This question does not consider the different rota structure across units where some trainees may work more consecutive nights over the weekend.  </w:t>
      </w:r>
    </w:p>
    <w:p w:rsidR="4C9258E6" w:rsidP="3A232ED9" w:rsidRDefault="7C54500E" w14:paraId="3644A6F3" w14:textId="41A920C9">
      <w:pPr>
        <w:spacing w:after="0" w:line="276" w:lineRule="auto"/>
        <w:jc w:val="both"/>
        <w:rPr>
          <w:rFonts w:ascii="Calibri" w:hAnsi="Calibri" w:eastAsia="Calibri" w:cs="Calibri"/>
          <w:color w:val="000000" w:themeColor="text1"/>
          <w:sz w:val="18"/>
          <w:szCs w:val="18"/>
        </w:rPr>
      </w:pPr>
      <w:r w:rsidRPr="3A232ED9">
        <w:rPr>
          <w:rFonts w:ascii="Calibri" w:hAnsi="Calibri" w:eastAsia="Calibri" w:cs="Calibri"/>
          <w:color w:val="000000" w:themeColor="text1"/>
          <w:sz w:val="18"/>
          <w:szCs w:val="18"/>
        </w:rPr>
        <w:t xml:space="preserve"> </w:t>
      </w:r>
    </w:p>
    <w:p w:rsidR="4C9258E6" w:rsidP="3A232ED9" w:rsidRDefault="7C54500E" w14:paraId="2241AAEE" w14:textId="432EFFDD">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When asked about how many sessions (one session = 0.5 days) trainees had off after working </w:t>
      </w:r>
      <w:r w:rsidRPr="3A232ED9">
        <w:rPr>
          <w:rFonts w:ascii="Calibri" w:hAnsi="Calibri" w:eastAsia="Calibri" w:cs="Calibri"/>
          <w:b/>
          <w:bCs/>
          <w:color w:val="000000" w:themeColor="text1"/>
          <w:sz w:val="24"/>
          <w:szCs w:val="24"/>
        </w:rPr>
        <w:t>weekend days,</w:t>
      </w:r>
      <w:r w:rsidRPr="3A232ED9">
        <w:rPr>
          <w:rFonts w:ascii="Calibri" w:hAnsi="Calibri" w:eastAsia="Calibri" w:cs="Calibri"/>
          <w:color w:val="000000" w:themeColor="text1"/>
          <w:sz w:val="24"/>
          <w:szCs w:val="24"/>
        </w:rPr>
        <w:t xml:space="preserve"> 48.3% of respondents stated they had two sessions off, 14.7% reported no sessions off, 9.9% had 1 session, 1.2% said 3, 23% said 4 sessions and 2.9% reported &gt;4 sessions. This question does not take into consideration that rest days may be issued to trainees prior to their weekend working. It would be interesting to know how many trainees are working on rotas which are not compliant with European Working Time Directive (EWTD). </w:t>
      </w:r>
    </w:p>
    <w:p w:rsidR="4C9258E6" w:rsidP="3A232ED9" w:rsidRDefault="4C9258E6" w14:paraId="15F4808E" w14:textId="3D8B8996">
      <w:pPr>
        <w:spacing w:line="257" w:lineRule="auto"/>
        <w:rPr>
          <w:rFonts w:ascii="Calibri" w:hAnsi="Calibri" w:eastAsia="Calibri" w:cs="Calibri"/>
          <w:color w:val="000000" w:themeColor="text1"/>
          <w:sz w:val="24"/>
          <w:szCs w:val="24"/>
        </w:rPr>
      </w:pP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679"/>
        <w:gridCol w:w="1223"/>
        <w:gridCol w:w="698"/>
        <w:gridCol w:w="225"/>
        <w:gridCol w:w="473"/>
        <w:gridCol w:w="180"/>
        <w:gridCol w:w="506"/>
        <w:gridCol w:w="254"/>
        <w:gridCol w:w="445"/>
        <w:gridCol w:w="254"/>
        <w:gridCol w:w="445"/>
        <w:gridCol w:w="254"/>
        <w:gridCol w:w="445"/>
        <w:gridCol w:w="239"/>
        <w:gridCol w:w="690"/>
      </w:tblGrid>
      <w:tr w:rsidR="3A232ED9" w:rsidTr="3A232ED9" w14:paraId="0669DBAD" w14:textId="77777777">
        <w:trPr>
          <w:trHeight w:val="1395"/>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11755855" w14:textId="202E657B">
            <w:pPr>
              <w:spacing w:after="0"/>
              <w:rPr>
                <w:rFonts w:ascii="Calibri" w:hAnsi="Calibri" w:eastAsia="Calibri" w:cs="Calibri"/>
                <w:sz w:val="24"/>
                <w:szCs w:val="24"/>
              </w:rPr>
            </w:pPr>
            <w:r w:rsidRPr="3A232ED9">
              <w:rPr>
                <w:rFonts w:ascii="Calibri" w:hAnsi="Calibri" w:eastAsia="Calibri" w:cs="Calibri"/>
                <w:sz w:val="24"/>
                <w:szCs w:val="24"/>
              </w:rPr>
              <w:t xml:space="preserve">% </w:t>
            </w:r>
          </w:p>
        </w:tc>
        <w:tc>
          <w:tcPr>
            <w:tcW w:w="127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3213684E" w14:textId="0178BEA6">
            <w:pPr>
              <w:spacing w:after="0"/>
              <w:jc w:val="center"/>
              <w:rPr>
                <w:rFonts w:ascii="Calibri" w:hAnsi="Calibri" w:eastAsia="Calibri" w:cs="Calibri"/>
                <w:sz w:val="24"/>
                <w:szCs w:val="24"/>
              </w:rPr>
            </w:pPr>
            <w:r w:rsidRPr="3A232ED9">
              <w:rPr>
                <w:rFonts w:ascii="Calibri" w:hAnsi="Calibri" w:eastAsia="Calibri" w:cs="Calibri"/>
                <w:sz w:val="24"/>
                <w:szCs w:val="24"/>
              </w:rPr>
              <w:t>I do not work these shifts</w:t>
            </w:r>
          </w:p>
        </w:tc>
        <w:tc>
          <w:tcPr>
            <w:tcW w:w="7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6353E1E0" w14:textId="783ACAC9">
            <w:pPr>
              <w:spacing w:after="0"/>
              <w:jc w:val="center"/>
              <w:rPr>
                <w:rFonts w:ascii="Calibri" w:hAnsi="Calibri" w:eastAsia="Calibri" w:cs="Calibri"/>
                <w:sz w:val="24"/>
                <w:szCs w:val="24"/>
              </w:rPr>
            </w:pPr>
            <w:r w:rsidRPr="3A232ED9">
              <w:rPr>
                <w:rFonts w:ascii="Calibri" w:hAnsi="Calibri" w:eastAsia="Calibri" w:cs="Calibri"/>
                <w:sz w:val="24"/>
                <w:szCs w:val="24"/>
              </w:rPr>
              <w:t>1</w:t>
            </w:r>
          </w:p>
        </w:tc>
        <w:tc>
          <w:tcPr>
            <w:tcW w:w="70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26280E6D" w14:textId="30F5A1F5">
            <w:pPr>
              <w:spacing w:after="0"/>
              <w:jc w:val="center"/>
              <w:rPr>
                <w:rFonts w:ascii="Calibri" w:hAnsi="Calibri" w:eastAsia="Calibri" w:cs="Calibri"/>
                <w:sz w:val="24"/>
                <w:szCs w:val="24"/>
              </w:rPr>
            </w:pPr>
            <w:r w:rsidRPr="3A232ED9">
              <w:rPr>
                <w:rFonts w:ascii="Calibri" w:hAnsi="Calibri" w:eastAsia="Calibri" w:cs="Calibri"/>
                <w:sz w:val="24"/>
                <w:szCs w:val="24"/>
              </w:rPr>
              <w:t>2</w:t>
            </w:r>
          </w:p>
        </w:tc>
        <w:tc>
          <w:tcPr>
            <w:tcW w:w="705" w:type="dxa"/>
            <w:gridSpan w:val="2"/>
            <w:tcBorders>
              <w:top w:val="single" w:color="auto" w:sz="6" w:space="0"/>
              <w:left w:val="nil"/>
              <w:bottom w:val="single" w:color="auto" w:sz="6" w:space="0"/>
              <w:right w:val="single" w:color="auto" w:sz="6" w:space="0"/>
            </w:tcBorders>
            <w:tcMar>
              <w:left w:w="105" w:type="dxa"/>
              <w:right w:w="105" w:type="dxa"/>
            </w:tcMar>
            <w:vAlign w:val="center"/>
          </w:tcPr>
          <w:p w:rsidR="3A232ED9" w:rsidP="3A232ED9" w:rsidRDefault="3A232ED9" w14:paraId="14DF7AD0" w14:textId="1287B7EB">
            <w:pPr>
              <w:spacing w:after="0"/>
              <w:jc w:val="center"/>
              <w:rPr>
                <w:rFonts w:ascii="Calibri" w:hAnsi="Calibri" w:eastAsia="Calibri" w:cs="Calibri"/>
                <w:sz w:val="24"/>
                <w:szCs w:val="24"/>
              </w:rPr>
            </w:pPr>
            <w:r w:rsidRPr="3A232ED9">
              <w:rPr>
                <w:rFonts w:ascii="Calibri" w:hAnsi="Calibri" w:eastAsia="Calibri" w:cs="Calibri"/>
                <w:sz w:val="24"/>
                <w:szCs w:val="24"/>
              </w:rPr>
              <w:t>3</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1F393A29" w14:textId="1309EB41">
            <w:pPr>
              <w:spacing w:after="0"/>
              <w:jc w:val="center"/>
              <w:rPr>
                <w:rFonts w:ascii="Calibri" w:hAnsi="Calibri" w:eastAsia="Calibri" w:cs="Calibri"/>
                <w:sz w:val="24"/>
                <w:szCs w:val="24"/>
              </w:rPr>
            </w:pPr>
            <w:r w:rsidRPr="3A232ED9">
              <w:rPr>
                <w:rFonts w:ascii="Calibri" w:hAnsi="Calibri" w:eastAsia="Calibri" w:cs="Calibri"/>
                <w:sz w:val="24"/>
                <w:szCs w:val="24"/>
              </w:rPr>
              <w:t>4</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713A557B" w14:textId="1102D202">
            <w:pPr>
              <w:spacing w:after="0"/>
              <w:jc w:val="center"/>
              <w:rPr>
                <w:rFonts w:ascii="Calibri" w:hAnsi="Calibri" w:eastAsia="Calibri" w:cs="Calibri"/>
                <w:sz w:val="24"/>
                <w:szCs w:val="24"/>
              </w:rPr>
            </w:pPr>
            <w:r w:rsidRPr="3A232ED9">
              <w:rPr>
                <w:rFonts w:ascii="Calibri" w:hAnsi="Calibri" w:eastAsia="Calibri" w:cs="Calibri"/>
                <w:sz w:val="24"/>
                <w:szCs w:val="24"/>
              </w:rPr>
              <w:t>5</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52E75D60" w14:textId="726A039C">
            <w:pPr>
              <w:spacing w:after="0"/>
              <w:jc w:val="center"/>
              <w:rPr>
                <w:rFonts w:ascii="Calibri" w:hAnsi="Calibri" w:eastAsia="Calibri" w:cs="Calibri"/>
                <w:sz w:val="24"/>
                <w:szCs w:val="24"/>
              </w:rPr>
            </w:pPr>
            <w:r w:rsidRPr="3A232ED9">
              <w:rPr>
                <w:rFonts w:ascii="Calibri" w:hAnsi="Calibri" w:eastAsia="Calibri" w:cs="Calibri"/>
                <w:sz w:val="24"/>
                <w:szCs w:val="24"/>
              </w:rPr>
              <w:t>6</w:t>
            </w:r>
          </w:p>
        </w:tc>
        <w:tc>
          <w:tcPr>
            <w:tcW w:w="97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03FBB673" w14:textId="2854439D">
            <w:pPr>
              <w:spacing w:after="0"/>
              <w:jc w:val="center"/>
              <w:rPr>
                <w:rFonts w:ascii="Calibri" w:hAnsi="Calibri" w:eastAsia="Calibri" w:cs="Calibri"/>
                <w:sz w:val="24"/>
                <w:szCs w:val="24"/>
              </w:rPr>
            </w:pPr>
            <w:r w:rsidRPr="3A232ED9">
              <w:rPr>
                <w:rFonts w:ascii="Calibri" w:hAnsi="Calibri" w:eastAsia="Calibri" w:cs="Calibri"/>
                <w:sz w:val="24"/>
                <w:szCs w:val="24"/>
              </w:rPr>
              <w:t>&gt;6</w:t>
            </w:r>
          </w:p>
        </w:tc>
      </w:tr>
      <w:tr w:rsidR="3A232ED9" w:rsidTr="3A232ED9" w14:paraId="1ACDDF43"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7B0CE1BC" w14:textId="19288825">
            <w:pPr>
              <w:spacing w:after="0"/>
              <w:rPr>
                <w:rFonts w:ascii="Calibri" w:hAnsi="Calibri" w:eastAsia="Calibri" w:cs="Calibri"/>
                <w:sz w:val="24"/>
                <w:szCs w:val="24"/>
              </w:rPr>
            </w:pPr>
            <w:r w:rsidRPr="3A232ED9">
              <w:rPr>
                <w:rFonts w:ascii="Calibri" w:hAnsi="Calibri" w:eastAsia="Calibri" w:cs="Calibri"/>
                <w:sz w:val="24"/>
                <w:szCs w:val="24"/>
              </w:rPr>
              <w:t xml:space="preserve">2.17 After completing a set of </w:t>
            </w:r>
            <w:r w:rsidRPr="3A232ED9">
              <w:rPr>
                <w:rFonts w:ascii="Calibri" w:hAnsi="Calibri" w:eastAsia="Calibri" w:cs="Calibri"/>
                <w:b/>
                <w:bCs/>
                <w:sz w:val="24"/>
                <w:szCs w:val="24"/>
              </w:rPr>
              <w:t>consecutive weekday nights</w:t>
            </w:r>
            <w:r w:rsidRPr="3A232ED9">
              <w:rPr>
                <w:rFonts w:ascii="Calibri" w:hAnsi="Calibri" w:eastAsia="Calibri" w:cs="Calibri"/>
                <w:sz w:val="24"/>
                <w:szCs w:val="24"/>
              </w:rPr>
              <w:t xml:space="preserve"> on call, how many nights of normal sleep would you have before you are next at work again? </w:t>
            </w:r>
          </w:p>
        </w:tc>
        <w:tc>
          <w:tcPr>
            <w:tcW w:w="127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3EE52419" w14:textId="1F7AA2F8">
            <w:pPr>
              <w:spacing w:after="0"/>
              <w:jc w:val="center"/>
              <w:rPr>
                <w:rFonts w:ascii="Calibri" w:hAnsi="Calibri" w:eastAsia="Calibri" w:cs="Calibri"/>
                <w:sz w:val="24"/>
                <w:szCs w:val="24"/>
              </w:rPr>
            </w:pPr>
            <w:r w:rsidRPr="3A232ED9">
              <w:rPr>
                <w:rFonts w:ascii="Calibri" w:hAnsi="Calibri" w:eastAsia="Calibri" w:cs="Calibri"/>
                <w:sz w:val="24"/>
                <w:szCs w:val="24"/>
              </w:rPr>
              <w:t>2.8</w:t>
            </w:r>
          </w:p>
        </w:tc>
        <w:tc>
          <w:tcPr>
            <w:tcW w:w="7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35EDFE15" w14:textId="21B224B6">
            <w:pPr>
              <w:spacing w:after="0"/>
              <w:jc w:val="center"/>
              <w:rPr>
                <w:rFonts w:ascii="Calibri" w:hAnsi="Calibri" w:eastAsia="Calibri" w:cs="Calibri"/>
                <w:sz w:val="24"/>
                <w:szCs w:val="24"/>
              </w:rPr>
            </w:pPr>
            <w:r w:rsidRPr="3A232ED9">
              <w:rPr>
                <w:rFonts w:ascii="Calibri" w:hAnsi="Calibri" w:eastAsia="Calibri" w:cs="Calibri"/>
                <w:sz w:val="24"/>
                <w:szCs w:val="24"/>
              </w:rPr>
              <w:t>2.4</w:t>
            </w:r>
          </w:p>
        </w:tc>
        <w:tc>
          <w:tcPr>
            <w:tcW w:w="70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096DEE9C" w14:textId="7B14DBBD">
            <w:pPr>
              <w:spacing w:after="0"/>
              <w:jc w:val="center"/>
              <w:rPr>
                <w:rFonts w:ascii="Calibri" w:hAnsi="Calibri" w:eastAsia="Calibri" w:cs="Calibri"/>
                <w:sz w:val="24"/>
                <w:szCs w:val="24"/>
              </w:rPr>
            </w:pPr>
            <w:r w:rsidRPr="3A232ED9">
              <w:rPr>
                <w:rFonts w:ascii="Calibri" w:hAnsi="Calibri" w:eastAsia="Calibri" w:cs="Calibri"/>
                <w:sz w:val="24"/>
                <w:szCs w:val="24"/>
              </w:rPr>
              <w:t>25</w:t>
            </w:r>
          </w:p>
        </w:tc>
        <w:tc>
          <w:tcPr>
            <w:tcW w:w="70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746E1442" w14:textId="0207608A">
            <w:pPr>
              <w:spacing w:after="0"/>
              <w:jc w:val="center"/>
              <w:rPr>
                <w:rFonts w:ascii="Calibri" w:hAnsi="Calibri" w:eastAsia="Calibri" w:cs="Calibri"/>
                <w:sz w:val="24"/>
                <w:szCs w:val="24"/>
              </w:rPr>
            </w:pPr>
            <w:r w:rsidRPr="3A232ED9">
              <w:rPr>
                <w:rFonts w:ascii="Calibri" w:hAnsi="Calibri" w:eastAsia="Calibri" w:cs="Calibri"/>
                <w:sz w:val="24"/>
                <w:szCs w:val="24"/>
              </w:rPr>
              <w:t>56</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189D3360" w14:textId="10C523B4">
            <w:pPr>
              <w:spacing w:after="0"/>
              <w:jc w:val="center"/>
              <w:rPr>
                <w:rFonts w:ascii="Calibri" w:hAnsi="Calibri" w:eastAsia="Calibri" w:cs="Calibri"/>
                <w:sz w:val="24"/>
                <w:szCs w:val="24"/>
              </w:rPr>
            </w:pPr>
            <w:r w:rsidRPr="3A232ED9">
              <w:rPr>
                <w:rFonts w:ascii="Calibri" w:hAnsi="Calibri" w:eastAsia="Calibri" w:cs="Calibri"/>
                <w:sz w:val="24"/>
                <w:szCs w:val="24"/>
              </w:rPr>
              <w:t>7.6</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66D5E95E" w14:textId="016CB919">
            <w:pPr>
              <w:spacing w:after="0"/>
              <w:jc w:val="center"/>
              <w:rPr>
                <w:rFonts w:ascii="Calibri" w:hAnsi="Calibri" w:eastAsia="Calibri" w:cs="Calibri"/>
                <w:sz w:val="24"/>
                <w:szCs w:val="24"/>
              </w:rPr>
            </w:pPr>
            <w:r w:rsidRPr="3A232ED9">
              <w:rPr>
                <w:rFonts w:ascii="Calibri" w:hAnsi="Calibri" w:eastAsia="Calibri" w:cs="Calibri"/>
                <w:sz w:val="24"/>
                <w:szCs w:val="24"/>
              </w:rPr>
              <w:t>3.3</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6C775CD8" w14:textId="1FCB028F">
            <w:pPr>
              <w:spacing w:after="0"/>
              <w:jc w:val="center"/>
              <w:rPr>
                <w:rFonts w:ascii="Calibri" w:hAnsi="Calibri" w:eastAsia="Calibri" w:cs="Calibri"/>
                <w:sz w:val="24"/>
                <w:szCs w:val="24"/>
              </w:rPr>
            </w:pPr>
            <w:r w:rsidRPr="3A232ED9">
              <w:rPr>
                <w:rFonts w:ascii="Calibri" w:hAnsi="Calibri" w:eastAsia="Calibri" w:cs="Calibri"/>
                <w:sz w:val="24"/>
                <w:szCs w:val="24"/>
              </w:rPr>
              <w:t>0.7</w:t>
            </w:r>
          </w:p>
        </w:tc>
        <w:tc>
          <w:tcPr>
            <w:tcW w:w="97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6F1AC439" w14:textId="2B22BFDB">
            <w:pPr>
              <w:spacing w:after="0"/>
              <w:jc w:val="center"/>
              <w:rPr>
                <w:rFonts w:ascii="Calibri" w:hAnsi="Calibri" w:eastAsia="Calibri" w:cs="Calibri"/>
                <w:sz w:val="24"/>
                <w:szCs w:val="24"/>
              </w:rPr>
            </w:pPr>
            <w:r w:rsidRPr="3A232ED9">
              <w:rPr>
                <w:rFonts w:ascii="Calibri" w:hAnsi="Calibri" w:eastAsia="Calibri" w:cs="Calibri"/>
                <w:sz w:val="24"/>
                <w:szCs w:val="24"/>
              </w:rPr>
              <w:t>2.2</w:t>
            </w:r>
          </w:p>
        </w:tc>
      </w:tr>
      <w:tr w:rsidR="3A232ED9" w:rsidTr="3A232ED9" w14:paraId="4EF634A5" w14:textId="77777777">
        <w:trPr>
          <w:trHeight w:val="300"/>
        </w:trPr>
        <w:tc>
          <w:tcPr>
            <w:tcW w:w="282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1C9514B4" w14:textId="557D4022">
            <w:pPr>
              <w:spacing w:after="0"/>
              <w:rPr>
                <w:rFonts w:ascii="Calibri" w:hAnsi="Calibri" w:eastAsia="Calibri" w:cs="Calibri"/>
                <w:sz w:val="24"/>
                <w:szCs w:val="24"/>
              </w:rPr>
            </w:pPr>
            <w:r w:rsidRPr="3A232ED9">
              <w:rPr>
                <w:rFonts w:ascii="Calibri" w:hAnsi="Calibri" w:eastAsia="Calibri" w:cs="Calibri"/>
                <w:sz w:val="24"/>
                <w:szCs w:val="24"/>
              </w:rPr>
              <w:lastRenderedPageBreak/>
              <w:t xml:space="preserve">2.19 How many days off do you have after </w:t>
            </w:r>
            <w:r w:rsidRPr="3A232ED9">
              <w:rPr>
                <w:rFonts w:ascii="Calibri" w:hAnsi="Calibri" w:eastAsia="Calibri" w:cs="Calibri"/>
                <w:b/>
                <w:bCs/>
                <w:sz w:val="24"/>
                <w:szCs w:val="24"/>
              </w:rPr>
              <w:t>working consecutive weekend nights</w:t>
            </w:r>
            <w:r w:rsidRPr="3A232ED9">
              <w:rPr>
                <w:rFonts w:ascii="Calibri" w:hAnsi="Calibri" w:eastAsia="Calibri" w:cs="Calibri"/>
                <w:sz w:val="24"/>
                <w:szCs w:val="24"/>
              </w:rPr>
              <w:t xml:space="preserve"> (not including the day after your shift finishes) </w:t>
            </w:r>
          </w:p>
        </w:tc>
        <w:tc>
          <w:tcPr>
            <w:tcW w:w="127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795E113E" w14:textId="40C6428F">
            <w:pPr>
              <w:spacing w:after="0"/>
              <w:jc w:val="center"/>
              <w:rPr>
                <w:rFonts w:ascii="Calibri" w:hAnsi="Calibri" w:eastAsia="Calibri" w:cs="Calibri"/>
                <w:sz w:val="24"/>
                <w:szCs w:val="24"/>
              </w:rPr>
            </w:pPr>
            <w:r w:rsidRPr="3A232ED9">
              <w:rPr>
                <w:rFonts w:ascii="Calibri" w:hAnsi="Calibri" w:eastAsia="Calibri" w:cs="Calibri"/>
                <w:sz w:val="24"/>
                <w:szCs w:val="24"/>
              </w:rPr>
              <w:t>2.4</w:t>
            </w:r>
          </w:p>
        </w:tc>
        <w:tc>
          <w:tcPr>
            <w:tcW w:w="705" w:type="dxa"/>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0BD99687" w14:textId="1BF76030">
            <w:pPr>
              <w:spacing w:after="0"/>
              <w:jc w:val="center"/>
              <w:rPr>
                <w:rFonts w:ascii="Calibri" w:hAnsi="Calibri" w:eastAsia="Calibri" w:cs="Calibri"/>
                <w:sz w:val="24"/>
                <w:szCs w:val="24"/>
              </w:rPr>
            </w:pPr>
            <w:r w:rsidRPr="3A232ED9">
              <w:rPr>
                <w:rFonts w:ascii="Calibri" w:hAnsi="Calibri" w:eastAsia="Calibri" w:cs="Calibri"/>
                <w:sz w:val="24"/>
                <w:szCs w:val="24"/>
              </w:rPr>
              <w:t>38.5</w:t>
            </w:r>
          </w:p>
        </w:tc>
        <w:tc>
          <w:tcPr>
            <w:tcW w:w="70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2BBEAC85" w14:textId="6C272130">
            <w:pPr>
              <w:spacing w:after="0"/>
              <w:jc w:val="center"/>
              <w:rPr>
                <w:rFonts w:ascii="Calibri" w:hAnsi="Calibri" w:eastAsia="Calibri" w:cs="Calibri"/>
                <w:sz w:val="24"/>
                <w:szCs w:val="24"/>
              </w:rPr>
            </w:pPr>
            <w:r w:rsidRPr="3A232ED9">
              <w:rPr>
                <w:rFonts w:ascii="Calibri" w:hAnsi="Calibri" w:eastAsia="Calibri" w:cs="Calibri"/>
                <w:sz w:val="24"/>
                <w:szCs w:val="24"/>
              </w:rPr>
              <w:t>30.6</w:t>
            </w:r>
          </w:p>
        </w:tc>
        <w:tc>
          <w:tcPr>
            <w:tcW w:w="70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7CCF2224" w14:textId="4052787B">
            <w:pPr>
              <w:spacing w:after="0"/>
              <w:jc w:val="center"/>
              <w:rPr>
                <w:rFonts w:ascii="Calibri" w:hAnsi="Calibri" w:eastAsia="Calibri" w:cs="Calibri"/>
                <w:sz w:val="24"/>
                <w:szCs w:val="24"/>
              </w:rPr>
            </w:pPr>
            <w:r w:rsidRPr="3A232ED9">
              <w:rPr>
                <w:rFonts w:ascii="Calibri" w:hAnsi="Calibri" w:eastAsia="Calibri" w:cs="Calibri"/>
                <w:sz w:val="24"/>
                <w:szCs w:val="24"/>
              </w:rPr>
              <w:t>8.3</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2A48DDBD" w14:textId="008873A5">
            <w:pPr>
              <w:spacing w:after="0"/>
              <w:jc w:val="center"/>
              <w:rPr>
                <w:rFonts w:ascii="Calibri" w:hAnsi="Calibri" w:eastAsia="Calibri" w:cs="Calibri"/>
                <w:sz w:val="24"/>
                <w:szCs w:val="24"/>
              </w:rPr>
            </w:pPr>
            <w:r w:rsidRPr="3A232ED9">
              <w:rPr>
                <w:rFonts w:ascii="Calibri" w:hAnsi="Calibri" w:eastAsia="Calibri" w:cs="Calibri"/>
                <w:sz w:val="24"/>
                <w:szCs w:val="24"/>
              </w:rPr>
              <w:t>6</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4697ABE4" w14:textId="201F7E13">
            <w:pPr>
              <w:spacing w:after="0"/>
              <w:jc w:val="center"/>
              <w:rPr>
                <w:rFonts w:ascii="Calibri" w:hAnsi="Calibri" w:eastAsia="Calibri" w:cs="Calibri"/>
                <w:sz w:val="24"/>
                <w:szCs w:val="24"/>
              </w:rPr>
            </w:pPr>
            <w:r w:rsidRPr="3A232ED9">
              <w:rPr>
                <w:rFonts w:ascii="Calibri" w:hAnsi="Calibri" w:eastAsia="Calibri" w:cs="Calibri"/>
                <w:sz w:val="24"/>
                <w:szCs w:val="24"/>
              </w:rPr>
              <w:t>2</w:t>
            </w:r>
          </w:p>
        </w:tc>
        <w:tc>
          <w:tcPr>
            <w:tcW w:w="720"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2FD8107C" w14:textId="5F688AF2">
            <w:pPr>
              <w:spacing w:after="0"/>
              <w:jc w:val="center"/>
              <w:rPr>
                <w:rFonts w:ascii="Calibri" w:hAnsi="Calibri" w:eastAsia="Calibri" w:cs="Calibri"/>
                <w:sz w:val="24"/>
                <w:szCs w:val="24"/>
              </w:rPr>
            </w:pPr>
            <w:r w:rsidRPr="3A232ED9">
              <w:rPr>
                <w:rFonts w:ascii="Calibri" w:hAnsi="Calibri" w:eastAsia="Calibri" w:cs="Calibri"/>
                <w:sz w:val="24"/>
                <w:szCs w:val="24"/>
              </w:rPr>
              <w:t>6.3</w:t>
            </w:r>
          </w:p>
        </w:tc>
        <w:tc>
          <w:tcPr>
            <w:tcW w:w="975" w:type="dxa"/>
            <w:gridSpan w:val="2"/>
            <w:tcBorders>
              <w:top w:val="single" w:color="auto" w:sz="6" w:space="0"/>
              <w:left w:val="single" w:color="auto" w:sz="6" w:space="0"/>
              <w:bottom w:val="single" w:color="auto" w:sz="6" w:space="0"/>
              <w:right w:val="single" w:color="auto" w:sz="6" w:space="0"/>
            </w:tcBorders>
            <w:tcMar>
              <w:left w:w="105" w:type="dxa"/>
              <w:right w:w="105" w:type="dxa"/>
            </w:tcMar>
            <w:vAlign w:val="center"/>
          </w:tcPr>
          <w:p w:rsidR="3A232ED9" w:rsidP="3A232ED9" w:rsidRDefault="3A232ED9" w14:paraId="326599BB" w14:textId="4B51A706">
            <w:pPr>
              <w:spacing w:after="0"/>
              <w:jc w:val="center"/>
              <w:rPr>
                <w:rFonts w:ascii="Calibri" w:hAnsi="Calibri" w:eastAsia="Calibri" w:cs="Calibri"/>
                <w:sz w:val="24"/>
                <w:szCs w:val="24"/>
              </w:rPr>
            </w:pPr>
            <w:r w:rsidRPr="3A232ED9">
              <w:rPr>
                <w:rFonts w:ascii="Calibri" w:hAnsi="Calibri" w:eastAsia="Calibri" w:cs="Calibri"/>
                <w:sz w:val="24"/>
                <w:szCs w:val="24"/>
              </w:rPr>
              <w:t>5.9</w:t>
            </w:r>
          </w:p>
        </w:tc>
      </w:tr>
      <w:tr w:rsidR="3A232ED9" w:rsidTr="3A232ED9" w14:paraId="347313C1" w14:textId="77777777">
        <w:trPr>
          <w:trHeight w:val="300"/>
        </w:trPr>
        <w:tc>
          <w:tcPr>
            <w:tcW w:w="2820" w:type="dxa"/>
            <w:tcBorders>
              <w:top w:val="single" w:color="auto" w:sz="6" w:space="0"/>
              <w:left w:val="nil"/>
              <w:bottom w:val="nil"/>
              <w:right w:val="nil"/>
            </w:tcBorders>
            <w:tcMar>
              <w:left w:w="105" w:type="dxa"/>
              <w:right w:w="105" w:type="dxa"/>
            </w:tcMar>
            <w:vAlign w:val="center"/>
          </w:tcPr>
          <w:p w:rsidR="3A232ED9" w:rsidP="3A232ED9" w:rsidRDefault="3A232ED9" w14:paraId="5671EADF" w14:textId="2126AF2F">
            <w:pPr>
              <w:rPr>
                <w:rFonts w:ascii="Aptos" w:hAnsi="Aptos" w:eastAsia="Aptos" w:cs="Aptos"/>
                <w:sz w:val="24"/>
                <w:szCs w:val="24"/>
              </w:rPr>
            </w:pPr>
          </w:p>
        </w:tc>
        <w:tc>
          <w:tcPr>
            <w:tcW w:w="1275" w:type="dxa"/>
            <w:tcBorders>
              <w:top w:val="single" w:color="auto" w:sz="6" w:space="0"/>
              <w:left w:val="nil"/>
              <w:bottom w:val="nil"/>
              <w:right w:val="nil"/>
            </w:tcBorders>
            <w:tcMar>
              <w:left w:w="105" w:type="dxa"/>
              <w:right w:w="105" w:type="dxa"/>
            </w:tcMar>
            <w:vAlign w:val="center"/>
          </w:tcPr>
          <w:p w:rsidR="3A232ED9" w:rsidP="3A232ED9" w:rsidRDefault="3A232ED9" w14:paraId="211F047A" w14:textId="6C207B7E">
            <w:pPr>
              <w:rPr>
                <w:rFonts w:ascii="Aptos" w:hAnsi="Aptos" w:eastAsia="Aptos" w:cs="Aptos"/>
                <w:sz w:val="24"/>
                <w:szCs w:val="24"/>
              </w:rPr>
            </w:pPr>
          </w:p>
        </w:tc>
        <w:tc>
          <w:tcPr>
            <w:tcW w:w="705" w:type="dxa"/>
            <w:tcBorders>
              <w:top w:val="single" w:color="auto" w:sz="6" w:space="0"/>
              <w:left w:val="nil"/>
              <w:bottom w:val="nil"/>
              <w:right w:val="nil"/>
            </w:tcBorders>
            <w:tcMar>
              <w:left w:w="105" w:type="dxa"/>
              <w:right w:w="105" w:type="dxa"/>
            </w:tcMar>
            <w:vAlign w:val="center"/>
          </w:tcPr>
          <w:p w:rsidR="3A232ED9" w:rsidP="3A232ED9" w:rsidRDefault="3A232ED9" w14:paraId="5B607F6E" w14:textId="1F91501C">
            <w:pPr>
              <w:rPr>
                <w:rFonts w:ascii="Aptos" w:hAnsi="Aptos" w:eastAsia="Aptos" w:cs="Aptos"/>
                <w:sz w:val="24"/>
                <w:szCs w:val="24"/>
              </w:rPr>
            </w:pPr>
          </w:p>
        </w:tc>
        <w:tc>
          <w:tcPr>
            <w:tcW w:w="225" w:type="dxa"/>
            <w:tcBorders>
              <w:top w:val="single" w:color="auto" w:sz="6" w:space="0"/>
              <w:left w:val="nil"/>
              <w:bottom w:val="nil"/>
              <w:right w:val="nil"/>
            </w:tcBorders>
            <w:tcMar>
              <w:left w:w="105" w:type="dxa"/>
              <w:right w:w="105" w:type="dxa"/>
            </w:tcMar>
            <w:vAlign w:val="center"/>
          </w:tcPr>
          <w:p w:rsidR="3A232ED9" w:rsidP="3A232ED9" w:rsidRDefault="3A232ED9" w14:paraId="07B8E2F8" w14:textId="743566DA">
            <w:pPr>
              <w:rPr>
                <w:rFonts w:ascii="Aptos" w:hAnsi="Aptos" w:eastAsia="Aptos" w:cs="Aptos"/>
                <w:sz w:val="24"/>
                <w:szCs w:val="24"/>
              </w:rPr>
            </w:pPr>
          </w:p>
        </w:tc>
        <w:tc>
          <w:tcPr>
            <w:tcW w:w="660" w:type="dxa"/>
            <w:gridSpan w:val="2"/>
            <w:tcBorders>
              <w:top w:val="single" w:color="auto" w:sz="6" w:space="0"/>
              <w:left w:val="nil"/>
              <w:bottom w:val="nil"/>
              <w:right w:val="nil"/>
            </w:tcBorders>
            <w:tcMar>
              <w:left w:w="105" w:type="dxa"/>
              <w:right w:w="105" w:type="dxa"/>
            </w:tcMar>
            <w:vAlign w:val="center"/>
          </w:tcPr>
          <w:p w:rsidR="3A232ED9" w:rsidP="3A232ED9" w:rsidRDefault="3A232ED9" w14:paraId="00ABE873" w14:textId="0474DA06">
            <w:pPr>
              <w:rPr>
                <w:rFonts w:ascii="Aptos" w:hAnsi="Aptos" w:eastAsia="Aptos" w:cs="Aptos"/>
                <w:sz w:val="24"/>
                <w:szCs w:val="24"/>
              </w:rPr>
            </w:pPr>
          </w:p>
        </w:tc>
        <w:tc>
          <w:tcPr>
            <w:tcW w:w="780" w:type="dxa"/>
            <w:gridSpan w:val="2"/>
            <w:tcBorders>
              <w:top w:val="single" w:color="auto" w:sz="6" w:space="0"/>
              <w:left w:val="nil"/>
              <w:bottom w:val="nil"/>
              <w:right w:val="nil"/>
            </w:tcBorders>
            <w:tcMar>
              <w:left w:w="105" w:type="dxa"/>
              <w:right w:w="105" w:type="dxa"/>
            </w:tcMar>
            <w:vAlign w:val="center"/>
          </w:tcPr>
          <w:p w:rsidR="3A232ED9" w:rsidP="3A232ED9" w:rsidRDefault="3A232ED9" w14:paraId="11126E52" w14:textId="49665327">
            <w:pPr>
              <w:rPr>
                <w:rFonts w:ascii="Aptos" w:hAnsi="Aptos" w:eastAsia="Aptos" w:cs="Aptos"/>
                <w:sz w:val="24"/>
                <w:szCs w:val="24"/>
              </w:rPr>
            </w:pPr>
          </w:p>
        </w:tc>
        <w:tc>
          <w:tcPr>
            <w:tcW w:w="720" w:type="dxa"/>
            <w:gridSpan w:val="2"/>
            <w:tcBorders>
              <w:top w:val="single" w:color="auto" w:sz="6" w:space="0"/>
              <w:left w:val="nil"/>
              <w:bottom w:val="nil"/>
              <w:right w:val="nil"/>
            </w:tcBorders>
            <w:tcMar>
              <w:left w:w="105" w:type="dxa"/>
              <w:right w:w="105" w:type="dxa"/>
            </w:tcMar>
            <w:vAlign w:val="center"/>
          </w:tcPr>
          <w:p w:rsidR="3A232ED9" w:rsidP="3A232ED9" w:rsidRDefault="3A232ED9" w14:paraId="1EB564AC" w14:textId="51F7BE57">
            <w:pPr>
              <w:rPr>
                <w:rFonts w:ascii="Aptos" w:hAnsi="Aptos" w:eastAsia="Aptos" w:cs="Aptos"/>
                <w:sz w:val="24"/>
                <w:szCs w:val="24"/>
              </w:rPr>
            </w:pPr>
          </w:p>
        </w:tc>
        <w:tc>
          <w:tcPr>
            <w:tcW w:w="720" w:type="dxa"/>
            <w:gridSpan w:val="2"/>
            <w:tcBorders>
              <w:top w:val="single" w:color="auto" w:sz="6" w:space="0"/>
              <w:left w:val="nil"/>
              <w:bottom w:val="nil"/>
              <w:right w:val="nil"/>
            </w:tcBorders>
            <w:tcMar>
              <w:left w:w="105" w:type="dxa"/>
              <w:right w:w="105" w:type="dxa"/>
            </w:tcMar>
            <w:vAlign w:val="center"/>
          </w:tcPr>
          <w:p w:rsidR="3A232ED9" w:rsidP="3A232ED9" w:rsidRDefault="3A232ED9" w14:paraId="597B7F2E" w14:textId="1076F2CB">
            <w:pPr>
              <w:rPr>
                <w:rFonts w:ascii="Aptos" w:hAnsi="Aptos" w:eastAsia="Aptos" w:cs="Aptos"/>
                <w:sz w:val="24"/>
                <w:szCs w:val="24"/>
              </w:rPr>
            </w:pPr>
          </w:p>
        </w:tc>
        <w:tc>
          <w:tcPr>
            <w:tcW w:w="720" w:type="dxa"/>
            <w:gridSpan w:val="2"/>
            <w:tcBorders>
              <w:top w:val="single" w:color="auto" w:sz="6" w:space="0"/>
              <w:left w:val="nil"/>
              <w:bottom w:val="nil"/>
              <w:right w:val="nil"/>
            </w:tcBorders>
            <w:tcMar>
              <w:left w:w="105" w:type="dxa"/>
              <w:right w:w="105" w:type="dxa"/>
            </w:tcMar>
            <w:vAlign w:val="center"/>
          </w:tcPr>
          <w:p w:rsidR="3A232ED9" w:rsidP="3A232ED9" w:rsidRDefault="3A232ED9" w14:paraId="5C0AC464" w14:textId="6C0CD94D">
            <w:pPr>
              <w:rPr>
                <w:rFonts w:ascii="Aptos" w:hAnsi="Aptos" w:eastAsia="Aptos" w:cs="Aptos"/>
                <w:sz w:val="24"/>
                <w:szCs w:val="24"/>
              </w:rPr>
            </w:pPr>
          </w:p>
        </w:tc>
        <w:tc>
          <w:tcPr>
            <w:tcW w:w="720" w:type="dxa"/>
            <w:tcBorders>
              <w:top w:val="single" w:color="auto" w:sz="6" w:space="0"/>
              <w:left w:val="nil"/>
              <w:bottom w:val="nil"/>
              <w:right w:val="nil"/>
            </w:tcBorders>
            <w:tcMar>
              <w:left w:w="105" w:type="dxa"/>
              <w:right w:w="105" w:type="dxa"/>
            </w:tcMar>
            <w:vAlign w:val="center"/>
          </w:tcPr>
          <w:p w:rsidR="3A232ED9" w:rsidP="3A232ED9" w:rsidRDefault="3A232ED9" w14:paraId="735CA7F1" w14:textId="4A73A054">
            <w:pPr>
              <w:rPr>
                <w:rFonts w:ascii="Aptos" w:hAnsi="Aptos" w:eastAsia="Aptos" w:cs="Aptos"/>
                <w:sz w:val="24"/>
                <w:szCs w:val="24"/>
              </w:rPr>
            </w:pPr>
          </w:p>
        </w:tc>
      </w:tr>
    </w:tbl>
    <w:p w:rsidR="4C9258E6" w:rsidP="3A232ED9" w:rsidRDefault="7C54500E" w14:paraId="4096BDB9" w14:textId="59827CF3">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23% of trainees never or rarely felt adequately rested returning to daytime duties after working consecutive night shifts. This is in comparison to 38% of trainees who felt often or always adequately rested, 36% of trainees sometimes felt adequately rested.  </w:t>
      </w:r>
    </w:p>
    <w:p w:rsidR="4C9258E6" w:rsidP="3A232ED9" w:rsidRDefault="4C9258E6" w14:paraId="3F14A4F5" w14:textId="0BE818C0">
      <w:pPr>
        <w:spacing w:after="0" w:line="276" w:lineRule="auto"/>
        <w:jc w:val="both"/>
        <w:rPr>
          <w:rFonts w:ascii="Calibri" w:hAnsi="Calibri" w:eastAsia="Calibri" w:cs="Calibri"/>
          <w:color w:val="000000" w:themeColor="text1"/>
          <w:sz w:val="24"/>
          <w:szCs w:val="24"/>
        </w:rPr>
      </w:pPr>
    </w:p>
    <w:p w:rsidR="4C9258E6" w:rsidP="3A232ED9" w:rsidRDefault="7C54500E" w14:paraId="1004AB5C" w14:textId="71BEF08E">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Most trainees responding to the survey did not feel safe to travel home following a shift, with 5.7% of trainees feeling “always” too tired, 16.6% often too tired and 35.9% sometimes feeling too tired to safely travel home. Some units provide “too tired to drive facilities” which were available to 29% of responders, not available to 14% of responders. 52% of responders did not know if such facilities were available in their unit. </w:t>
      </w:r>
    </w:p>
    <w:p w:rsidR="4C9258E6" w:rsidP="3A232ED9" w:rsidRDefault="7C54500E" w14:paraId="4F08284C" w14:textId="3C4C0452">
      <w:pPr>
        <w:pStyle w:val="Heading3"/>
        <w:spacing w:line="276" w:lineRule="auto"/>
        <w:rPr>
          <w:rFonts w:ascii="Calibri" w:hAnsi="Calibri" w:eastAsia="Calibri" w:cs="Calibri"/>
          <w:color w:val="002060"/>
          <w:sz w:val="24"/>
          <w:szCs w:val="24"/>
        </w:rPr>
      </w:pPr>
      <w:bookmarkStart w:name="_Toc1610148826" w:id="1355756105"/>
      <w:r w:rsidRPr="2FF77C75" w:rsidR="7C54500E">
        <w:rPr>
          <w:rFonts w:ascii="Calibri" w:hAnsi="Calibri" w:eastAsia="Calibri" w:cs="Calibri"/>
          <w:color w:val="002060"/>
          <w:sz w:val="24"/>
          <w:szCs w:val="24"/>
        </w:rPr>
        <w:t>Basic facilities</w:t>
      </w:r>
      <w:bookmarkEnd w:id="1355756105"/>
      <w:r w:rsidRPr="2FF77C75" w:rsidR="7C54500E">
        <w:rPr>
          <w:rFonts w:ascii="Calibri" w:hAnsi="Calibri" w:eastAsia="Calibri" w:cs="Calibri"/>
          <w:color w:val="002060"/>
          <w:sz w:val="24"/>
          <w:szCs w:val="24"/>
        </w:rPr>
        <w:t xml:space="preserve"> </w:t>
      </w:r>
    </w:p>
    <w:p w:rsidR="4C9258E6" w:rsidP="3A232ED9" w:rsidRDefault="7C54500E" w14:paraId="7C5AE1FD" w14:textId="1B242F28">
      <w:pPr>
        <w:spacing w:after="0"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63% of respondents felt that they had access to adequate rest facilities during their night shifts (e.g. private area with bedding/ comfortable chair), however 37% of trainees reported that they do not have access to such rest areas. This is especially concerning considering that many trainees reported that they felt too tired to safely travel home. </w:t>
      </w:r>
    </w:p>
    <w:p w:rsidR="4C9258E6" w:rsidP="3A232ED9" w:rsidRDefault="7C54500E" w14:paraId="4273E9FD" w14:textId="06104C7F">
      <w:pPr>
        <w:spacing w:after="0"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325"/>
        <w:gridCol w:w="1080"/>
        <w:gridCol w:w="960"/>
        <w:gridCol w:w="1410"/>
        <w:gridCol w:w="1125"/>
        <w:gridCol w:w="1125"/>
        <w:gridCol w:w="810"/>
      </w:tblGrid>
      <w:tr w:rsidR="3A232ED9" w:rsidTr="3A232ED9" w14:paraId="025206D9" w14:textId="77777777">
        <w:trPr>
          <w:trHeight w:val="300"/>
        </w:trPr>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3C0435BC" w14:textId="348FB0BB">
            <w:pPr>
              <w:spacing w:after="0"/>
              <w:rPr>
                <w:rFonts w:ascii="Calibri" w:hAnsi="Calibri" w:eastAsia="Calibri" w:cs="Calibri"/>
                <w:sz w:val="24"/>
                <w:szCs w:val="24"/>
              </w:rPr>
            </w:pPr>
            <w:r w:rsidRPr="3A232ED9">
              <w:rPr>
                <w:rFonts w:ascii="Calibri" w:hAnsi="Calibri" w:eastAsia="Calibri" w:cs="Calibri"/>
                <w:sz w:val="24"/>
                <w:szCs w:val="24"/>
              </w:rPr>
              <w:t xml:space="preserve"> %</w:t>
            </w:r>
          </w:p>
        </w:tc>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014C3166" w14:textId="04E75502">
            <w:pPr>
              <w:spacing w:after="0"/>
              <w:rPr>
                <w:rFonts w:ascii="Calibri" w:hAnsi="Calibri" w:eastAsia="Calibri" w:cs="Calibri"/>
                <w:sz w:val="24"/>
                <w:szCs w:val="24"/>
              </w:rPr>
            </w:pPr>
            <w:r w:rsidRPr="3A232ED9">
              <w:rPr>
                <w:rFonts w:ascii="Calibri" w:hAnsi="Calibri" w:eastAsia="Calibri" w:cs="Calibri"/>
                <w:sz w:val="24"/>
                <w:szCs w:val="24"/>
              </w:rPr>
              <w:t xml:space="preserve">Always </w:t>
            </w:r>
          </w:p>
        </w:tc>
        <w:tc>
          <w:tcPr>
            <w:tcW w:w="96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33F0FAE6" w14:textId="01A9585C">
            <w:pPr>
              <w:spacing w:after="0"/>
              <w:rPr>
                <w:rFonts w:ascii="Calibri" w:hAnsi="Calibri" w:eastAsia="Calibri" w:cs="Calibri"/>
                <w:sz w:val="24"/>
                <w:szCs w:val="24"/>
              </w:rPr>
            </w:pPr>
            <w:r w:rsidRPr="3A232ED9">
              <w:rPr>
                <w:rFonts w:ascii="Calibri" w:hAnsi="Calibri" w:eastAsia="Calibri" w:cs="Calibri"/>
                <w:sz w:val="24"/>
                <w:szCs w:val="24"/>
              </w:rPr>
              <w:t xml:space="preserve">Often </w:t>
            </w:r>
          </w:p>
        </w:tc>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3FA2AC9B" w14:textId="2A4B1DB1">
            <w:pPr>
              <w:spacing w:after="0"/>
              <w:rPr>
                <w:rFonts w:ascii="Calibri" w:hAnsi="Calibri" w:eastAsia="Calibri" w:cs="Calibri"/>
                <w:sz w:val="24"/>
                <w:szCs w:val="24"/>
              </w:rPr>
            </w:pPr>
            <w:r w:rsidRPr="3A232ED9">
              <w:rPr>
                <w:rFonts w:ascii="Calibri" w:hAnsi="Calibri" w:eastAsia="Calibri" w:cs="Calibri"/>
                <w:sz w:val="24"/>
                <w:szCs w:val="24"/>
              </w:rPr>
              <w:t xml:space="preserve">Sometimes </w:t>
            </w:r>
          </w:p>
        </w:tc>
        <w:tc>
          <w:tcPr>
            <w:tcW w:w="11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2D394CCD" w14:textId="6983B7B8">
            <w:pPr>
              <w:spacing w:after="0"/>
              <w:rPr>
                <w:rFonts w:ascii="Calibri" w:hAnsi="Calibri" w:eastAsia="Calibri" w:cs="Calibri"/>
                <w:sz w:val="24"/>
                <w:szCs w:val="24"/>
              </w:rPr>
            </w:pPr>
            <w:r w:rsidRPr="3A232ED9">
              <w:rPr>
                <w:rFonts w:ascii="Calibri" w:hAnsi="Calibri" w:eastAsia="Calibri" w:cs="Calibri"/>
                <w:sz w:val="24"/>
                <w:szCs w:val="24"/>
              </w:rPr>
              <w:t xml:space="preserve">Rarely </w:t>
            </w:r>
          </w:p>
        </w:tc>
        <w:tc>
          <w:tcPr>
            <w:tcW w:w="11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3838E327" w14:textId="74ABC39A">
            <w:pPr>
              <w:spacing w:after="0"/>
              <w:rPr>
                <w:rFonts w:ascii="Calibri" w:hAnsi="Calibri" w:eastAsia="Calibri" w:cs="Calibri"/>
                <w:sz w:val="24"/>
                <w:szCs w:val="24"/>
              </w:rPr>
            </w:pPr>
            <w:r w:rsidRPr="3A232ED9">
              <w:rPr>
                <w:rFonts w:ascii="Calibri" w:hAnsi="Calibri" w:eastAsia="Calibri" w:cs="Calibri"/>
                <w:sz w:val="24"/>
                <w:szCs w:val="24"/>
              </w:rPr>
              <w:t xml:space="preserve">Never </w:t>
            </w:r>
          </w:p>
        </w:tc>
        <w:tc>
          <w:tcPr>
            <w:tcW w:w="81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0ED0B126" w14:textId="79802A7D">
            <w:pPr>
              <w:spacing w:after="0"/>
              <w:rPr>
                <w:rFonts w:ascii="Calibri" w:hAnsi="Calibri" w:eastAsia="Calibri" w:cs="Calibri"/>
                <w:sz w:val="24"/>
                <w:szCs w:val="24"/>
              </w:rPr>
            </w:pPr>
            <w:r w:rsidRPr="3A232ED9">
              <w:rPr>
                <w:rFonts w:ascii="Calibri" w:hAnsi="Calibri" w:eastAsia="Calibri" w:cs="Calibri"/>
                <w:sz w:val="24"/>
                <w:szCs w:val="24"/>
              </w:rPr>
              <w:t xml:space="preserve">N/A </w:t>
            </w:r>
          </w:p>
        </w:tc>
      </w:tr>
      <w:tr w:rsidR="3A232ED9" w:rsidTr="3A232ED9" w14:paraId="1DF8BB34" w14:textId="77777777">
        <w:trPr>
          <w:trHeight w:val="300"/>
        </w:trPr>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769D37AF" w14:textId="532D6B9B">
            <w:pPr>
              <w:spacing w:after="0"/>
              <w:rPr>
                <w:rFonts w:ascii="Calibri" w:hAnsi="Calibri" w:eastAsia="Calibri" w:cs="Calibri"/>
                <w:sz w:val="24"/>
                <w:szCs w:val="24"/>
              </w:rPr>
            </w:pPr>
            <w:r w:rsidRPr="3A232ED9">
              <w:rPr>
                <w:rFonts w:ascii="Calibri" w:hAnsi="Calibri" w:eastAsia="Calibri" w:cs="Calibri"/>
                <w:sz w:val="24"/>
                <w:szCs w:val="24"/>
              </w:rPr>
              <w:t xml:space="preserve">2.21 If rest facilities are available during your night shifts, how often do you use such facilities? </w:t>
            </w:r>
          </w:p>
        </w:tc>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1F2EE93E" w14:textId="3CEF389F">
            <w:pPr>
              <w:spacing w:after="0"/>
              <w:rPr>
                <w:rFonts w:ascii="Calibri" w:hAnsi="Calibri" w:eastAsia="Calibri" w:cs="Calibri"/>
                <w:sz w:val="24"/>
                <w:szCs w:val="24"/>
              </w:rPr>
            </w:pPr>
            <w:r w:rsidRPr="3A232ED9">
              <w:rPr>
                <w:rFonts w:ascii="Calibri" w:hAnsi="Calibri" w:eastAsia="Calibri" w:cs="Calibri"/>
                <w:sz w:val="24"/>
                <w:szCs w:val="24"/>
              </w:rPr>
              <w:t xml:space="preserve">3.3 </w:t>
            </w:r>
          </w:p>
        </w:tc>
        <w:tc>
          <w:tcPr>
            <w:tcW w:w="96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0690DB82" w14:textId="53D8B85E">
            <w:pPr>
              <w:spacing w:after="0"/>
              <w:rPr>
                <w:rFonts w:ascii="Calibri" w:hAnsi="Calibri" w:eastAsia="Calibri" w:cs="Calibri"/>
                <w:sz w:val="24"/>
                <w:szCs w:val="24"/>
              </w:rPr>
            </w:pPr>
            <w:r w:rsidRPr="3A232ED9">
              <w:rPr>
                <w:rFonts w:ascii="Calibri" w:hAnsi="Calibri" w:eastAsia="Calibri" w:cs="Calibri"/>
                <w:sz w:val="24"/>
                <w:szCs w:val="24"/>
              </w:rPr>
              <w:t xml:space="preserve">11.3 </w:t>
            </w:r>
          </w:p>
        </w:tc>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55920D91" w14:textId="0C260C3A">
            <w:pPr>
              <w:spacing w:after="0"/>
              <w:rPr>
                <w:rFonts w:ascii="Calibri" w:hAnsi="Calibri" w:eastAsia="Calibri" w:cs="Calibri"/>
                <w:sz w:val="24"/>
                <w:szCs w:val="24"/>
              </w:rPr>
            </w:pPr>
            <w:r w:rsidRPr="3A232ED9">
              <w:rPr>
                <w:rFonts w:ascii="Calibri" w:hAnsi="Calibri" w:eastAsia="Calibri" w:cs="Calibri"/>
                <w:sz w:val="24"/>
                <w:szCs w:val="24"/>
              </w:rPr>
              <w:t xml:space="preserve">27.5 </w:t>
            </w:r>
          </w:p>
        </w:tc>
        <w:tc>
          <w:tcPr>
            <w:tcW w:w="11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02604F4D" w14:textId="238C8D6B">
            <w:pPr>
              <w:spacing w:after="0"/>
              <w:rPr>
                <w:rFonts w:ascii="Calibri" w:hAnsi="Calibri" w:eastAsia="Calibri" w:cs="Calibri"/>
                <w:sz w:val="24"/>
                <w:szCs w:val="24"/>
              </w:rPr>
            </w:pPr>
            <w:r w:rsidRPr="3A232ED9">
              <w:rPr>
                <w:rFonts w:ascii="Calibri" w:hAnsi="Calibri" w:eastAsia="Calibri" w:cs="Calibri"/>
                <w:sz w:val="24"/>
                <w:szCs w:val="24"/>
              </w:rPr>
              <w:t xml:space="preserve">26.3 </w:t>
            </w:r>
          </w:p>
        </w:tc>
        <w:tc>
          <w:tcPr>
            <w:tcW w:w="11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0BB1BAFF" w14:textId="1F7F7E2E">
            <w:pPr>
              <w:spacing w:after="0"/>
              <w:rPr>
                <w:rFonts w:ascii="Calibri" w:hAnsi="Calibri" w:eastAsia="Calibri" w:cs="Calibri"/>
                <w:sz w:val="24"/>
                <w:szCs w:val="24"/>
              </w:rPr>
            </w:pPr>
            <w:r w:rsidRPr="3A232ED9">
              <w:rPr>
                <w:rFonts w:ascii="Calibri" w:hAnsi="Calibri" w:eastAsia="Calibri" w:cs="Calibri"/>
                <w:sz w:val="24"/>
                <w:szCs w:val="24"/>
              </w:rPr>
              <w:t xml:space="preserve">14 </w:t>
            </w:r>
          </w:p>
        </w:tc>
        <w:tc>
          <w:tcPr>
            <w:tcW w:w="81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60226D89" w14:textId="2BFE7734">
            <w:pPr>
              <w:spacing w:after="0"/>
              <w:rPr>
                <w:rFonts w:ascii="Calibri" w:hAnsi="Calibri" w:eastAsia="Calibri" w:cs="Calibri"/>
                <w:sz w:val="24"/>
                <w:szCs w:val="24"/>
              </w:rPr>
            </w:pPr>
            <w:r w:rsidRPr="3A232ED9">
              <w:rPr>
                <w:rFonts w:ascii="Calibri" w:hAnsi="Calibri" w:eastAsia="Calibri" w:cs="Calibri"/>
                <w:sz w:val="24"/>
                <w:szCs w:val="24"/>
              </w:rPr>
              <w:t xml:space="preserve">17 </w:t>
            </w:r>
          </w:p>
        </w:tc>
      </w:tr>
      <w:tr w:rsidR="3A232ED9" w:rsidTr="3A232ED9" w14:paraId="5D9DF384" w14:textId="77777777">
        <w:trPr>
          <w:trHeight w:val="300"/>
        </w:trPr>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6E17FD1D" w14:textId="57E11088">
            <w:pPr>
              <w:spacing w:after="0"/>
              <w:rPr>
                <w:rFonts w:ascii="Calibri" w:hAnsi="Calibri" w:eastAsia="Calibri" w:cs="Calibri"/>
                <w:sz w:val="24"/>
                <w:szCs w:val="24"/>
              </w:rPr>
            </w:pPr>
            <w:r w:rsidRPr="3A232ED9">
              <w:rPr>
                <w:rFonts w:ascii="Calibri" w:hAnsi="Calibri" w:eastAsia="Calibri" w:cs="Calibri"/>
                <w:sz w:val="24"/>
                <w:szCs w:val="24"/>
              </w:rPr>
              <w:t xml:space="preserve">2.22 How often do you have at least 30 minutes of uninterrupted rest during a night shift? </w:t>
            </w:r>
          </w:p>
        </w:tc>
        <w:tc>
          <w:tcPr>
            <w:tcW w:w="108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34679E61" w14:textId="2C11781E">
            <w:pPr>
              <w:spacing w:after="0"/>
              <w:rPr>
                <w:rFonts w:ascii="Calibri" w:hAnsi="Calibri" w:eastAsia="Calibri" w:cs="Calibri"/>
                <w:sz w:val="24"/>
                <w:szCs w:val="24"/>
              </w:rPr>
            </w:pPr>
            <w:r w:rsidRPr="3A232ED9">
              <w:rPr>
                <w:rFonts w:ascii="Calibri" w:hAnsi="Calibri" w:eastAsia="Calibri" w:cs="Calibri"/>
                <w:sz w:val="24"/>
                <w:szCs w:val="24"/>
              </w:rPr>
              <w:t xml:space="preserve">2.2 </w:t>
            </w:r>
          </w:p>
        </w:tc>
        <w:tc>
          <w:tcPr>
            <w:tcW w:w="96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2D58E3B1" w14:textId="73920E1E">
            <w:pPr>
              <w:spacing w:after="0"/>
              <w:rPr>
                <w:rFonts w:ascii="Calibri" w:hAnsi="Calibri" w:eastAsia="Calibri" w:cs="Calibri"/>
                <w:sz w:val="24"/>
                <w:szCs w:val="24"/>
              </w:rPr>
            </w:pPr>
            <w:r w:rsidRPr="3A232ED9">
              <w:rPr>
                <w:rFonts w:ascii="Calibri" w:hAnsi="Calibri" w:eastAsia="Calibri" w:cs="Calibri"/>
                <w:sz w:val="24"/>
                <w:szCs w:val="24"/>
              </w:rPr>
              <w:t xml:space="preserve">14.7 </w:t>
            </w:r>
          </w:p>
        </w:tc>
        <w:tc>
          <w:tcPr>
            <w:tcW w:w="141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36C77B90" w14:textId="437726D1">
            <w:pPr>
              <w:spacing w:after="0"/>
              <w:rPr>
                <w:rFonts w:ascii="Calibri" w:hAnsi="Calibri" w:eastAsia="Calibri" w:cs="Calibri"/>
                <w:sz w:val="24"/>
                <w:szCs w:val="24"/>
              </w:rPr>
            </w:pPr>
            <w:r w:rsidRPr="3A232ED9">
              <w:rPr>
                <w:rFonts w:ascii="Calibri" w:hAnsi="Calibri" w:eastAsia="Calibri" w:cs="Calibri"/>
                <w:sz w:val="24"/>
                <w:szCs w:val="24"/>
              </w:rPr>
              <w:t xml:space="preserve">34.7 </w:t>
            </w:r>
          </w:p>
        </w:tc>
        <w:tc>
          <w:tcPr>
            <w:tcW w:w="11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1E050BC0" w14:textId="0A32965B">
            <w:pPr>
              <w:spacing w:after="0"/>
              <w:rPr>
                <w:rFonts w:ascii="Calibri" w:hAnsi="Calibri" w:eastAsia="Calibri" w:cs="Calibri"/>
                <w:sz w:val="24"/>
                <w:szCs w:val="24"/>
              </w:rPr>
            </w:pPr>
            <w:r w:rsidRPr="3A232ED9">
              <w:rPr>
                <w:rFonts w:ascii="Calibri" w:hAnsi="Calibri" w:eastAsia="Calibri" w:cs="Calibri"/>
                <w:sz w:val="24"/>
                <w:szCs w:val="24"/>
              </w:rPr>
              <w:t xml:space="preserve">33 </w:t>
            </w:r>
          </w:p>
        </w:tc>
        <w:tc>
          <w:tcPr>
            <w:tcW w:w="1125"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2365D82E" w14:textId="771D9678">
            <w:pPr>
              <w:spacing w:after="0"/>
              <w:rPr>
                <w:rFonts w:ascii="Calibri" w:hAnsi="Calibri" w:eastAsia="Calibri" w:cs="Calibri"/>
                <w:sz w:val="24"/>
                <w:szCs w:val="24"/>
              </w:rPr>
            </w:pPr>
            <w:r w:rsidRPr="3A232ED9">
              <w:rPr>
                <w:rFonts w:ascii="Calibri" w:hAnsi="Calibri" w:eastAsia="Calibri" w:cs="Calibri"/>
                <w:sz w:val="24"/>
                <w:szCs w:val="24"/>
              </w:rPr>
              <w:t xml:space="preserve">15.4 </w:t>
            </w:r>
          </w:p>
        </w:tc>
        <w:tc>
          <w:tcPr>
            <w:tcW w:w="810" w:type="dxa"/>
            <w:tcBorders>
              <w:top w:val="single" w:color="auto" w:sz="6" w:space="0"/>
              <w:left w:val="single" w:color="auto" w:sz="6" w:space="0"/>
              <w:bottom w:val="single" w:color="auto" w:sz="6" w:space="0"/>
              <w:right w:val="single" w:color="auto" w:sz="6" w:space="0"/>
            </w:tcBorders>
            <w:tcMar>
              <w:left w:w="105" w:type="dxa"/>
              <w:right w:w="105" w:type="dxa"/>
            </w:tcMar>
          </w:tcPr>
          <w:p w:rsidR="3A232ED9" w:rsidP="3A232ED9" w:rsidRDefault="3A232ED9" w14:paraId="74293199" w14:textId="15B8AAF2">
            <w:pPr>
              <w:spacing w:after="0"/>
              <w:rPr>
                <w:rFonts w:ascii="Calibri" w:hAnsi="Calibri" w:eastAsia="Calibri" w:cs="Calibri"/>
                <w:sz w:val="24"/>
                <w:szCs w:val="24"/>
              </w:rPr>
            </w:pPr>
            <w:r w:rsidRPr="3A232ED9">
              <w:rPr>
                <w:rFonts w:ascii="Calibri" w:hAnsi="Calibri" w:eastAsia="Calibri" w:cs="Calibri"/>
                <w:sz w:val="24"/>
                <w:szCs w:val="24"/>
              </w:rPr>
              <w:t xml:space="preserve"> </w:t>
            </w:r>
          </w:p>
        </w:tc>
      </w:tr>
    </w:tbl>
    <w:p w:rsidR="4C9258E6" w:rsidP="3A232ED9" w:rsidRDefault="7C54500E" w14:paraId="059EB13F" w14:textId="179F7E16">
      <w:pPr>
        <w:spacing w:after="0"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 </w:t>
      </w:r>
    </w:p>
    <w:p w:rsidR="4C9258E6" w:rsidP="3A232ED9" w:rsidRDefault="7C54500E" w14:paraId="65CDDD50" w14:textId="7E211B6E">
      <w:pPr>
        <w:spacing w:after="0"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It should also be considered that there may be different basic facilities provided to trainees at different levels within the same unit. </w:t>
      </w:r>
    </w:p>
    <w:p w:rsidR="4C9258E6" w:rsidP="3A232ED9" w:rsidRDefault="4C9258E6" w14:paraId="3D198721" w14:textId="6F6652B8">
      <w:pPr>
        <w:spacing w:line="257" w:lineRule="auto"/>
        <w:jc w:val="both"/>
        <w:rPr>
          <w:rFonts w:ascii="Calibri" w:hAnsi="Calibri" w:eastAsia="Calibri" w:cs="Calibri"/>
          <w:color w:val="000000" w:themeColor="text1"/>
          <w:sz w:val="24"/>
          <w:szCs w:val="24"/>
        </w:rPr>
      </w:pPr>
    </w:p>
    <w:p w:rsidR="4C9258E6" w:rsidP="3A232ED9" w:rsidRDefault="7C54500E" w14:paraId="0D0B70E9" w14:textId="44106E5C">
      <w:pPr>
        <w:pStyle w:val="Heading3"/>
        <w:spacing w:line="276" w:lineRule="auto"/>
        <w:rPr>
          <w:rFonts w:ascii="Calibri" w:hAnsi="Calibri" w:eastAsia="Calibri" w:cs="Calibri"/>
          <w:color w:val="002060"/>
          <w:sz w:val="24"/>
          <w:szCs w:val="24"/>
        </w:rPr>
      </w:pPr>
      <w:bookmarkStart w:name="_Toc1967897845" w:id="855988269"/>
      <w:r w:rsidRPr="2FF77C75" w:rsidR="7C54500E">
        <w:rPr>
          <w:rFonts w:ascii="Calibri" w:hAnsi="Calibri" w:eastAsia="Calibri" w:cs="Calibri"/>
          <w:color w:val="002060"/>
          <w:sz w:val="24"/>
          <w:szCs w:val="24"/>
        </w:rPr>
        <w:t>Rota provision</w:t>
      </w:r>
      <w:bookmarkEnd w:id="855988269"/>
    </w:p>
    <w:p w:rsidR="4C9258E6" w:rsidP="3A232ED9" w:rsidRDefault="7C54500E" w14:paraId="2CB9C473" w14:textId="62F284E9">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9% of respondents had indicated that they had considered leaving the speciality due to delayed rota provision. 72% of trainees either agreed or strongly agreed that they had </w:t>
      </w:r>
      <w:r w:rsidRPr="3A232ED9">
        <w:rPr>
          <w:rFonts w:ascii="Calibri" w:hAnsi="Calibri" w:eastAsia="Calibri" w:cs="Calibri"/>
          <w:color w:val="000000" w:themeColor="text1"/>
          <w:sz w:val="24"/>
          <w:szCs w:val="24"/>
        </w:rPr>
        <w:lastRenderedPageBreak/>
        <w:t xml:space="preserve">received their placement details 12 weeks in advance of starting their placement, in comparison to 63% who felt that they had received their personalised rota 6 weeks in advance. It could be that the process for recognising and trying to fill rota gaps in advance of August changeover is taking more time than anticipated, which suggests that the process for placements for changeover starts more promptly. </w:t>
      </w:r>
    </w:p>
    <w:p w:rsidR="4C9258E6" w:rsidP="3A232ED9" w:rsidRDefault="7C54500E" w14:paraId="32398C27" w14:textId="1E8972C8">
      <w:pPr>
        <w:pStyle w:val="Heading3"/>
        <w:spacing w:line="276" w:lineRule="auto"/>
        <w:rPr>
          <w:rFonts w:ascii="Calibri" w:hAnsi="Calibri" w:eastAsia="Calibri" w:cs="Calibri"/>
          <w:color w:val="002060"/>
          <w:sz w:val="24"/>
          <w:szCs w:val="24"/>
        </w:rPr>
      </w:pPr>
      <w:bookmarkStart w:name="_Toc625080006" w:id="604569189"/>
      <w:r w:rsidRPr="2FF77C75" w:rsidR="7C54500E">
        <w:rPr>
          <w:rFonts w:ascii="Calibri" w:hAnsi="Calibri" w:eastAsia="Calibri" w:cs="Calibri"/>
          <w:color w:val="002060"/>
          <w:sz w:val="24"/>
          <w:szCs w:val="24"/>
        </w:rPr>
        <w:t>Fulfilling training requirements</w:t>
      </w:r>
      <w:bookmarkEnd w:id="604569189"/>
      <w:r w:rsidRPr="2FF77C75" w:rsidR="7C54500E">
        <w:rPr>
          <w:rFonts w:ascii="Calibri" w:hAnsi="Calibri" w:eastAsia="Calibri" w:cs="Calibri"/>
          <w:color w:val="002060"/>
          <w:sz w:val="24"/>
          <w:szCs w:val="24"/>
        </w:rPr>
        <w:t xml:space="preserve"> </w:t>
      </w:r>
    </w:p>
    <w:p w:rsidR="4C9258E6" w:rsidP="3A232ED9" w:rsidRDefault="7C54500E" w14:paraId="6B792AC3" w14:textId="32EF9BE1">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Almost half (48.5%) of </w:t>
      </w:r>
      <w:proofErr w:type="gramStart"/>
      <w:r w:rsidRPr="3A232ED9">
        <w:rPr>
          <w:rFonts w:ascii="Calibri" w:hAnsi="Calibri" w:eastAsia="Calibri" w:cs="Calibri"/>
          <w:color w:val="000000" w:themeColor="text1"/>
          <w:sz w:val="24"/>
          <w:szCs w:val="24"/>
        </w:rPr>
        <w:t>trainees</w:t>
      </w:r>
      <w:proofErr w:type="gramEnd"/>
      <w:r w:rsidRPr="3A232ED9">
        <w:rPr>
          <w:rFonts w:ascii="Calibri" w:hAnsi="Calibri" w:eastAsia="Calibri" w:cs="Calibri"/>
          <w:color w:val="000000" w:themeColor="text1"/>
          <w:sz w:val="24"/>
          <w:szCs w:val="24"/>
        </w:rPr>
        <w:t xml:space="preserve"> report coming into work on off days or zero days to complete training requirements. In addition to this, many trainees do not have opportunities built into their average working week for non-clinical work (Figure 6) i.e., sessions for the purposes of audit, admin, projects, updating e-portfolio or private study. </w:t>
      </w:r>
    </w:p>
    <w:p w:rsidR="4C9258E6" w:rsidP="3A232ED9" w:rsidRDefault="7C54500E" w14:paraId="28926EFB" w14:textId="38D8CDDC">
      <w:pPr>
        <w:spacing w:line="257" w:lineRule="auto"/>
        <w:rPr>
          <w:rFonts w:ascii="Calibri" w:hAnsi="Calibri" w:eastAsia="Calibri" w:cs="Calibri"/>
          <w:color w:val="000000" w:themeColor="text1"/>
          <w:sz w:val="24"/>
          <w:szCs w:val="24"/>
        </w:rPr>
      </w:pPr>
      <w:r>
        <w:rPr>
          <w:noProof/>
        </w:rPr>
        <w:drawing>
          <wp:inline distT="0" distB="0" distL="0" distR="0" wp14:anchorId="035007A7" wp14:editId="48E0D73D">
            <wp:extent cx="5657850" cy="4095750"/>
            <wp:effectExtent l="0" t="0" r="0" b="0"/>
            <wp:docPr id="1117649044" name="drawing" title="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649044" name="Picture 1117649044"/>
                    <pic:cNvPicPr/>
                  </pic:nvPicPr>
                  <pic:blipFill>
                    <a:blip r:embed="rId16">
                      <a:extLst>
                        <a:ext uri="{28A0092B-C50C-407E-A947-70E740481C1C}">
                          <a14:useLocalDpi xmlns:a14="http://schemas.microsoft.com/office/drawing/2010/main"/>
                        </a:ext>
                      </a:extLst>
                    </a:blip>
                    <a:stretch>
                      <a:fillRect/>
                    </a:stretch>
                  </pic:blipFill>
                  <pic:spPr>
                    <a:xfrm>
                      <a:off x="0" y="0"/>
                      <a:ext cx="5657850" cy="4095750"/>
                    </a:xfrm>
                    <a:prstGeom prst="rect">
                      <a:avLst/>
                    </a:prstGeom>
                  </pic:spPr>
                </pic:pic>
              </a:graphicData>
            </a:graphic>
          </wp:inline>
        </w:drawing>
      </w:r>
    </w:p>
    <w:p w:rsidR="4C9258E6" w:rsidP="3A232ED9" w:rsidRDefault="7C54500E" w14:paraId="6A0C1009" w14:textId="1534288C">
      <w:pPr>
        <w:spacing w:line="257"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Figure 6 – How many non-clinical sessions do you have in your average working week?</w:t>
      </w:r>
    </w:p>
    <w:p w:rsidR="4C9258E6" w:rsidP="3A232ED9" w:rsidRDefault="7C54500E" w14:paraId="393A5D24" w14:textId="2DD92F4B">
      <w:pPr>
        <w:spacing w:line="257" w:lineRule="auto"/>
        <w:jc w:val="both"/>
        <w:rPr>
          <w:rFonts w:ascii="Calibri" w:hAnsi="Calibri" w:eastAsia="Calibri" w:cs="Calibri"/>
          <w:color w:val="000000" w:themeColor="text1"/>
          <w:sz w:val="24"/>
          <w:szCs w:val="24"/>
        </w:rPr>
      </w:pPr>
      <w:r>
        <w:rPr>
          <w:noProof/>
        </w:rPr>
        <w:lastRenderedPageBreak/>
        <w:drawing>
          <wp:inline distT="0" distB="0" distL="0" distR="0" wp14:anchorId="1D07DFB2" wp14:editId="691DCB82">
            <wp:extent cx="5657850" cy="3105150"/>
            <wp:effectExtent l="0" t="0" r="0" b="0"/>
            <wp:docPr id="658550081" name="drawing" title="Chart 1,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50081" name="Picture 658550081"/>
                    <pic:cNvPicPr/>
                  </pic:nvPicPr>
                  <pic:blipFill>
                    <a:blip r:embed="rId17">
                      <a:extLst>
                        <a:ext uri="{28A0092B-C50C-407E-A947-70E740481C1C}">
                          <a14:useLocalDpi xmlns:a14="http://schemas.microsoft.com/office/drawing/2010/main"/>
                        </a:ext>
                      </a:extLst>
                    </a:blip>
                    <a:stretch>
                      <a:fillRect/>
                    </a:stretch>
                  </pic:blipFill>
                  <pic:spPr>
                    <a:xfrm>
                      <a:off x="0" y="0"/>
                      <a:ext cx="5657850" cy="3105150"/>
                    </a:xfrm>
                    <a:prstGeom prst="rect">
                      <a:avLst/>
                    </a:prstGeom>
                  </pic:spPr>
                </pic:pic>
              </a:graphicData>
            </a:graphic>
          </wp:inline>
        </w:drawing>
      </w:r>
      <w:r w:rsidRPr="3A232ED9">
        <w:rPr>
          <w:rFonts w:ascii="Calibri" w:hAnsi="Calibri" w:eastAsia="Calibri" w:cs="Calibri"/>
          <w:color w:val="000000" w:themeColor="text1"/>
          <w:sz w:val="24"/>
          <w:szCs w:val="24"/>
        </w:rPr>
        <w:t>It is also common that trainees lose non-clinical sessions to cover service clinical work. 31.8% of trainees “sometimes” lost these sessions 29% “often” lost them and 11.2% cited that they</w:t>
      </w:r>
      <w:r w:rsidRPr="3A232ED9">
        <w:rPr>
          <w:rFonts w:ascii="Calibri" w:hAnsi="Calibri" w:eastAsia="Calibri" w:cs="Calibri"/>
          <w:i/>
          <w:iCs/>
          <w:color w:val="000000" w:themeColor="text1"/>
          <w:sz w:val="24"/>
          <w:szCs w:val="24"/>
        </w:rPr>
        <w:t xml:space="preserve"> </w:t>
      </w:r>
      <w:r w:rsidRPr="3A232ED9">
        <w:rPr>
          <w:rFonts w:ascii="Calibri" w:hAnsi="Calibri" w:eastAsia="Calibri" w:cs="Calibri"/>
          <w:color w:val="000000" w:themeColor="text1"/>
          <w:sz w:val="24"/>
          <w:szCs w:val="24"/>
        </w:rPr>
        <w:t xml:space="preserve">“always” lost them. Consequently, trainees are frequently using their own time for non-clinical tasks. The frequency in which these sessions are lost suggests that they are not adequately protected, or that there are frequent gaps with staff sicknesses requiring last minute cover with subsequent loss of these sessions. </w:t>
      </w:r>
    </w:p>
    <w:p w:rsidR="005C355C" w:rsidP="3A232ED9" w:rsidRDefault="005C355C" w14:paraId="76313BFA" w14:textId="59D6CB59">
      <w:pPr>
        <w:spacing w:line="257" w:lineRule="auto"/>
        <w:jc w:val="both"/>
        <w:rPr>
          <w:rFonts w:ascii="Calibri" w:hAnsi="Calibri" w:eastAsia="Calibri" w:cs="Calibri"/>
          <w:color w:val="000000" w:themeColor="text1"/>
          <w:sz w:val="24"/>
          <w:szCs w:val="24"/>
        </w:rPr>
      </w:pPr>
      <w:r w:rsidRPr="00F35686">
        <w:rPr>
          <w:noProof/>
          <w:lang w:eastAsia="en-GB"/>
        </w:rPr>
        <w:drawing>
          <wp:anchor distT="0" distB="0" distL="114300" distR="114300" simplePos="0" relativeHeight="251672576" behindDoc="0" locked="0" layoutInCell="1" allowOverlap="1" wp14:anchorId="2043F3F8" wp14:editId="69F33461">
            <wp:simplePos x="0" y="0"/>
            <wp:positionH relativeFrom="column">
              <wp:posOffset>0</wp:posOffset>
            </wp:positionH>
            <wp:positionV relativeFrom="paragraph">
              <wp:posOffset>304800</wp:posOffset>
            </wp:positionV>
            <wp:extent cx="5638800" cy="3086100"/>
            <wp:effectExtent l="0" t="0" r="12700" b="12700"/>
            <wp:wrapTopAndBottom/>
            <wp:docPr id="1331235900" name="Chart 1">
              <a:extLst xmlns:a="http://schemas.openxmlformats.org/drawingml/2006/main">
                <a:ext uri="{FF2B5EF4-FFF2-40B4-BE49-F238E27FC236}">
                  <a16:creationId xmlns:a16="http://schemas.microsoft.com/office/drawing/2014/main" id="{C33E928D-77EB-E7A9-4AFF-14999EF801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4C9258E6" w:rsidP="3A232ED9" w:rsidRDefault="7C54500E" w14:paraId="1657C4B1" w14:textId="5EADFB6E">
      <w:pPr>
        <w:spacing w:line="257"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7 – Chart examining when trainees found time to update e Portfolio/ study for exams. </w:t>
      </w:r>
    </w:p>
    <w:p w:rsidR="4C9258E6" w:rsidP="3A232ED9" w:rsidRDefault="4C9258E6" w14:paraId="2479C5A5" w14:textId="0852D302">
      <w:pPr>
        <w:spacing w:line="257" w:lineRule="auto"/>
        <w:rPr>
          <w:rFonts w:ascii="Calibri" w:hAnsi="Calibri" w:eastAsia="Calibri" w:cs="Calibri"/>
          <w:color w:val="000000" w:themeColor="text1"/>
          <w:sz w:val="24"/>
          <w:szCs w:val="24"/>
        </w:rPr>
      </w:pPr>
    </w:p>
    <w:p w:rsidR="008B0AB9" w:rsidP="3A232ED9" w:rsidRDefault="008B0AB9" w14:paraId="78A9B51A" w14:textId="77777777">
      <w:pPr>
        <w:spacing w:line="257" w:lineRule="auto"/>
        <w:rPr>
          <w:rFonts w:ascii="Calibri" w:hAnsi="Calibri" w:eastAsia="Calibri" w:cs="Calibri"/>
          <w:color w:val="000000" w:themeColor="text1"/>
          <w:sz w:val="24"/>
          <w:szCs w:val="24"/>
        </w:rPr>
      </w:pPr>
    </w:p>
    <w:p w:rsidR="008B0AB9" w:rsidP="3A232ED9" w:rsidRDefault="008B0AB9" w14:paraId="05D9380A" w14:textId="77777777">
      <w:pPr>
        <w:spacing w:line="257" w:lineRule="auto"/>
        <w:rPr>
          <w:rFonts w:ascii="Calibri" w:hAnsi="Calibri" w:eastAsia="Calibri" w:cs="Calibri"/>
          <w:color w:val="000000" w:themeColor="text1"/>
          <w:sz w:val="24"/>
          <w:szCs w:val="24"/>
        </w:rPr>
      </w:pPr>
    </w:p>
    <w:p w:rsidR="008B0AB9" w:rsidRDefault="008B0AB9" w14:paraId="1D5B7ED5" w14:textId="77777777">
      <w:pPr>
        <w:rPr>
          <w:rFonts w:ascii="Calibri" w:hAnsi="Calibri" w:eastAsia="Calibri" w:cs="Calibri"/>
          <w:i/>
          <w:iCs/>
          <w:color w:val="000000" w:themeColor="text1"/>
          <w:sz w:val="24"/>
          <w:szCs w:val="24"/>
        </w:rPr>
      </w:pPr>
      <w:r>
        <w:rPr>
          <w:noProof/>
          <w:lang w:eastAsia="en-GB"/>
        </w:rPr>
        <w:drawing>
          <wp:inline distT="0" distB="0" distL="0" distR="0" wp14:anchorId="08FFE3CB" wp14:editId="5BD29638">
            <wp:extent cx="5629910" cy="3365500"/>
            <wp:effectExtent l="0" t="0" r="8890" b="12700"/>
            <wp:docPr id="639015029" name="Chart 1">
              <a:extLst xmlns:a="http://schemas.openxmlformats.org/drawingml/2006/main">
                <a:ext uri="{FF2B5EF4-FFF2-40B4-BE49-F238E27FC236}">
                  <a16:creationId xmlns:a16="http://schemas.microsoft.com/office/drawing/2014/main" id="{A63E3303-46B7-16E4-CDE4-B8713B47EE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B0AB9" w:rsidP="008B0AB9" w:rsidRDefault="008B0AB9" w14:paraId="38F7D234" w14:textId="77777777">
      <w:pPr>
        <w:spacing w:line="257" w:lineRule="auto"/>
        <w:rPr>
          <w:rFonts w:ascii="Calibri" w:hAnsi="Calibri" w:eastAsia="Calibri" w:cs="Calibri"/>
          <w:i/>
          <w:iCs/>
          <w:color w:val="000000" w:themeColor="text1"/>
          <w:sz w:val="24"/>
          <w:szCs w:val="24"/>
        </w:rPr>
      </w:pPr>
      <w:r w:rsidRPr="3A232ED9">
        <w:rPr>
          <w:rFonts w:ascii="Calibri" w:hAnsi="Calibri" w:eastAsia="Calibri" w:cs="Calibri"/>
          <w:i/>
          <w:iCs/>
          <w:color w:val="000000" w:themeColor="text1"/>
          <w:sz w:val="24"/>
          <w:szCs w:val="24"/>
        </w:rPr>
        <w:t xml:space="preserve">Figure 8 – Chart examining how frequently non-clinical sessions are lost split between deaneries. </w:t>
      </w:r>
    </w:p>
    <w:p w:rsidR="008B0AB9" w:rsidP="3A232ED9" w:rsidRDefault="008B0AB9" w14:paraId="45DF034E" w14:textId="77777777">
      <w:pPr>
        <w:spacing w:line="257" w:lineRule="auto"/>
        <w:rPr>
          <w:rFonts w:ascii="Calibri" w:hAnsi="Calibri" w:eastAsia="Calibri" w:cs="Calibri"/>
          <w:color w:val="000000" w:themeColor="text1"/>
          <w:sz w:val="24"/>
          <w:szCs w:val="24"/>
        </w:rPr>
      </w:pPr>
    </w:p>
    <w:p w:rsidR="4C9258E6" w:rsidP="3A232ED9" w:rsidRDefault="7C54500E" w14:paraId="5900ADB6" w14:textId="31412AAC">
      <w:pPr>
        <w:pStyle w:val="Heading3"/>
        <w:spacing w:line="276" w:lineRule="auto"/>
        <w:rPr>
          <w:rFonts w:ascii="Calibri" w:hAnsi="Calibri" w:eastAsia="Calibri" w:cs="Calibri"/>
          <w:color w:val="002060"/>
          <w:sz w:val="24"/>
          <w:szCs w:val="24"/>
        </w:rPr>
      </w:pPr>
      <w:bookmarkStart w:name="_Toc1224572563" w:id="884454321"/>
      <w:r w:rsidRPr="2FF77C75" w:rsidR="7C54500E">
        <w:rPr>
          <w:rFonts w:ascii="Calibri" w:hAnsi="Calibri" w:eastAsia="Calibri" w:cs="Calibri"/>
          <w:color w:val="002060"/>
          <w:sz w:val="24"/>
          <w:szCs w:val="24"/>
        </w:rPr>
        <w:t>Exception reporting</w:t>
      </w:r>
      <w:bookmarkEnd w:id="884454321"/>
    </w:p>
    <w:p w:rsidR="4C9258E6" w:rsidP="3A232ED9" w:rsidRDefault="7C54500E" w14:paraId="2A1F6E2C" w14:textId="72CB9C75">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Resident doctors in England can submit an exception report electronically for any variation from the planned working hours or training opportunities in their usual working pattern</w:t>
      </w:r>
      <w:r w:rsidRPr="3A232ED9">
        <w:rPr>
          <w:rFonts w:ascii="Calibri" w:hAnsi="Calibri" w:eastAsia="Calibri" w:cs="Calibri"/>
          <w:color w:val="000000" w:themeColor="text1"/>
          <w:sz w:val="24"/>
          <w:szCs w:val="24"/>
          <w:vertAlign w:val="superscript"/>
        </w:rPr>
        <w:t>10</w:t>
      </w:r>
      <w:r w:rsidRPr="3A232ED9">
        <w:rPr>
          <w:rFonts w:ascii="Calibri" w:hAnsi="Calibri" w:eastAsia="Calibri" w:cs="Calibri"/>
          <w:color w:val="000000" w:themeColor="text1"/>
          <w:sz w:val="24"/>
          <w:szCs w:val="24"/>
        </w:rPr>
        <w:t>. The purpose is to help identify areas of for improvement. For doctors working in Scotland, Wales or Northern Ireland a separate system exists (rota monitoring) where variation from normal working patterns can be identified</w:t>
      </w:r>
      <w:r w:rsidRPr="3A232ED9">
        <w:rPr>
          <w:rFonts w:ascii="Calibri" w:hAnsi="Calibri" w:eastAsia="Calibri" w:cs="Calibri"/>
          <w:color w:val="000000" w:themeColor="text1"/>
          <w:sz w:val="24"/>
          <w:szCs w:val="24"/>
          <w:vertAlign w:val="superscript"/>
        </w:rPr>
        <w:t>11</w:t>
      </w:r>
      <w:r w:rsidRPr="3A232ED9">
        <w:rPr>
          <w:rFonts w:ascii="Calibri" w:hAnsi="Calibri" w:eastAsia="Calibri" w:cs="Calibri"/>
          <w:color w:val="000000" w:themeColor="text1"/>
          <w:sz w:val="24"/>
          <w:szCs w:val="24"/>
        </w:rPr>
        <w:t xml:space="preserve">. </w:t>
      </w:r>
    </w:p>
    <w:p w:rsidR="4C9258E6" w:rsidP="3A232ED9" w:rsidRDefault="4C9258E6" w14:paraId="4A365AC7" w14:textId="13CAC56D">
      <w:pPr>
        <w:spacing w:after="0" w:line="276" w:lineRule="auto"/>
        <w:jc w:val="both"/>
        <w:rPr>
          <w:rFonts w:ascii="Calibri" w:hAnsi="Calibri" w:eastAsia="Calibri" w:cs="Calibri"/>
          <w:color w:val="000000" w:themeColor="text1"/>
          <w:sz w:val="24"/>
          <w:szCs w:val="24"/>
        </w:rPr>
      </w:pPr>
    </w:p>
    <w:p w:rsidR="4C9258E6" w:rsidP="3A232ED9" w:rsidRDefault="7C54500E" w14:paraId="28CAAF4E" w14:textId="05F9B686">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40% of respondents agreed or strongly agreed that they felt supported to submit exception reports where appropriate, however 62% of trainees did not know that exception reports are used by trusts to improve training and 64.4% of trainees did not that exception reports are used to improve the delivery of patient care. </w:t>
      </w:r>
    </w:p>
    <w:p w:rsidR="4C9258E6" w:rsidP="3A232ED9" w:rsidRDefault="4C9258E6" w14:paraId="7D7A363F" w14:textId="05F14314">
      <w:pPr>
        <w:spacing w:after="0" w:line="276" w:lineRule="auto"/>
        <w:jc w:val="both"/>
        <w:rPr>
          <w:rFonts w:ascii="Calibri" w:hAnsi="Calibri" w:eastAsia="Calibri" w:cs="Calibri"/>
          <w:color w:val="000000" w:themeColor="text1"/>
          <w:sz w:val="24"/>
          <w:szCs w:val="24"/>
        </w:rPr>
      </w:pPr>
    </w:p>
    <w:p w:rsidR="4C9258E6" w:rsidP="3A232ED9" w:rsidRDefault="7C54500E" w14:paraId="0349FF1F" w14:textId="3D2CA2D3">
      <w:pPr>
        <w:spacing w:after="0"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As previously identified, many trainees do not have time built into their rota for non-clinical work and submitting an exception report is another administrative task, which may in turn require trainees to stay further beyond contracted hours to submit such reports. </w:t>
      </w:r>
    </w:p>
    <w:p w:rsidR="4C9258E6" w:rsidP="3A232ED9" w:rsidRDefault="4C9258E6" w14:paraId="3B2BEA68" w14:textId="376CA0A4">
      <w:pPr>
        <w:spacing w:after="0" w:line="276" w:lineRule="auto"/>
        <w:jc w:val="both"/>
        <w:rPr>
          <w:rFonts w:ascii="Calibri" w:hAnsi="Calibri" w:eastAsia="Calibri" w:cs="Calibri"/>
          <w:color w:val="EE0000"/>
          <w:sz w:val="24"/>
          <w:szCs w:val="24"/>
        </w:rPr>
      </w:pPr>
    </w:p>
    <w:p w:rsidR="4C9258E6" w:rsidP="3A232ED9" w:rsidRDefault="7C54500E" w14:paraId="2BC57C95" w14:textId="78398443">
      <w:pPr>
        <w:pStyle w:val="Heading2"/>
        <w:spacing w:line="276" w:lineRule="auto"/>
        <w:rPr>
          <w:rFonts w:ascii="Calibri" w:hAnsi="Calibri" w:eastAsia="Calibri" w:cs="Calibri"/>
          <w:color w:val="002060"/>
          <w:sz w:val="24"/>
          <w:szCs w:val="24"/>
        </w:rPr>
      </w:pPr>
      <w:bookmarkStart w:name="_Toc1819481120" w:id="1508372738"/>
      <w:r w:rsidRPr="2FF77C75" w:rsidR="7C54500E">
        <w:rPr>
          <w:rFonts w:ascii="Calibri" w:hAnsi="Calibri" w:eastAsia="Calibri" w:cs="Calibri"/>
          <w:b w:val="1"/>
          <w:bCs w:val="1"/>
          <w:color w:val="002060"/>
          <w:sz w:val="24"/>
          <w:szCs w:val="24"/>
        </w:rPr>
        <w:t>Support and workplace culture</w:t>
      </w:r>
      <w:bookmarkEnd w:id="1508372738"/>
    </w:p>
    <w:p w:rsidR="4C9258E6" w:rsidP="3A232ED9" w:rsidRDefault="7C54500E" w14:paraId="4E9FDB5F" w14:textId="01D00155">
      <w:pPr>
        <w:pStyle w:val="Heading3"/>
        <w:spacing w:line="276" w:lineRule="auto"/>
        <w:rPr>
          <w:rFonts w:ascii="Calibri" w:hAnsi="Calibri" w:eastAsia="Calibri" w:cs="Calibri"/>
          <w:color w:val="002060"/>
          <w:sz w:val="24"/>
          <w:szCs w:val="24"/>
        </w:rPr>
      </w:pPr>
      <w:bookmarkStart w:name="_Toc2095031186" w:id="782349847"/>
      <w:r w:rsidRPr="2FF77C75" w:rsidR="7C54500E">
        <w:rPr>
          <w:rFonts w:ascii="Calibri" w:hAnsi="Calibri" w:eastAsia="Calibri" w:cs="Calibri"/>
          <w:color w:val="002060"/>
          <w:sz w:val="24"/>
          <w:szCs w:val="24"/>
        </w:rPr>
        <w:t>Consultant support</w:t>
      </w:r>
      <w:bookmarkEnd w:id="782349847"/>
      <w:r w:rsidRPr="2FF77C75" w:rsidR="7C54500E">
        <w:rPr>
          <w:rFonts w:ascii="Calibri" w:hAnsi="Calibri" w:eastAsia="Calibri" w:cs="Calibri"/>
          <w:color w:val="002060"/>
          <w:sz w:val="24"/>
          <w:szCs w:val="24"/>
        </w:rPr>
        <w:t xml:space="preserve"> </w:t>
      </w:r>
    </w:p>
    <w:p w:rsidR="4C9258E6" w:rsidP="3A232ED9" w:rsidRDefault="7C54500E" w14:paraId="48B61F90" w14:textId="4763CA07">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84% of respondents knew that their unit had a policy for when a consultant must attend but 13% did not know if there was a policy and 2.1% said that their units did not have such a policy. Unfortunately, 3.8% of trainees reported requesting consultant presence under the conditions stated by their unit’s policy but the consultant did not attend.</w:t>
      </w:r>
    </w:p>
    <w:p w:rsidR="4C9258E6" w:rsidP="3A232ED9" w:rsidRDefault="7C54500E" w14:paraId="76115DF6" w14:textId="6C99B605">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In addition to this several trainees reported being asked to undertake clinical activities without what they considered to be appropriate supervision for their level of training. Interestingly a large proportion of trainees did not feel adequately supervised when working in theatre (figure 9). Lack of adequate clinical supervision is both a patient safety and training concern and should be explored in more detail to enable understanding of the situation. </w:t>
      </w:r>
    </w:p>
    <w:p w:rsidR="00123FEC" w:rsidP="3A232ED9" w:rsidRDefault="00123FEC" w14:paraId="7AC87CDC" w14:textId="77777777">
      <w:pPr>
        <w:spacing w:line="276" w:lineRule="auto"/>
        <w:jc w:val="both"/>
        <w:rPr>
          <w:rFonts w:ascii="Calibri" w:hAnsi="Calibri" w:eastAsia="Calibri" w:cs="Calibri"/>
          <w:color w:val="000000" w:themeColor="text1"/>
          <w:sz w:val="24"/>
          <w:szCs w:val="24"/>
        </w:rPr>
      </w:pPr>
    </w:p>
    <w:p w:rsidR="4C9258E6" w:rsidP="3A232ED9" w:rsidRDefault="00123FEC" w14:paraId="13F7BBCA" w14:textId="290274E0">
      <w:pPr>
        <w:spacing w:line="257" w:lineRule="auto"/>
        <w:rPr>
          <w:rFonts w:ascii="Calibri" w:hAnsi="Calibri" w:eastAsia="Calibri" w:cs="Calibri"/>
          <w:color w:val="000000" w:themeColor="text1"/>
          <w:sz w:val="24"/>
          <w:szCs w:val="24"/>
        </w:rPr>
      </w:pPr>
      <w:r>
        <w:rPr>
          <w:noProof/>
          <w:lang w:eastAsia="en-GB"/>
        </w:rPr>
        <w:drawing>
          <wp:inline distT="0" distB="0" distL="0" distR="0" wp14:anchorId="5E4A77C3" wp14:editId="69E14B21">
            <wp:extent cx="4572000" cy="2743200"/>
            <wp:effectExtent l="0" t="0" r="12700" b="12700"/>
            <wp:docPr id="399376916" name="Chart 1">
              <a:extLst xmlns:a="http://schemas.openxmlformats.org/drawingml/2006/main">
                <a:ext uri="{FF2B5EF4-FFF2-40B4-BE49-F238E27FC236}">
                  <a16:creationId xmlns:a16="http://schemas.microsoft.com/office/drawing/2014/main" id="{0AB26AA8-1174-2D99-9A91-8037B0FD90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4C9258E6" w:rsidP="3A232ED9" w:rsidRDefault="7C54500E" w14:paraId="199989F3" w14:textId="6777774A">
      <w:pPr>
        <w:spacing w:line="257" w:lineRule="auto"/>
        <w:rPr>
          <w:rFonts w:ascii="Calibri" w:hAnsi="Calibri" w:eastAsia="Calibri" w:cs="Calibri"/>
          <w:color w:val="000000" w:themeColor="text1"/>
          <w:sz w:val="24"/>
          <w:szCs w:val="24"/>
        </w:rPr>
      </w:pPr>
      <w:r w:rsidRPr="3A232ED9">
        <w:rPr>
          <w:rFonts w:ascii="Calibri" w:hAnsi="Calibri" w:eastAsia="Calibri" w:cs="Calibri"/>
          <w:b/>
          <w:bCs/>
          <w:i/>
          <w:iCs/>
          <w:color w:val="000000" w:themeColor="text1"/>
          <w:sz w:val="24"/>
          <w:szCs w:val="24"/>
        </w:rPr>
        <w:t xml:space="preserve">Figure 9 - Graph identifying working environments without appropriate clinical supervision. </w:t>
      </w:r>
    </w:p>
    <w:p w:rsidR="4C9258E6" w:rsidP="3A232ED9" w:rsidRDefault="7C54500E" w14:paraId="3851D69B" w14:textId="2357F247">
      <w:pPr>
        <w:pStyle w:val="Heading3"/>
        <w:spacing w:line="276" w:lineRule="auto"/>
        <w:rPr>
          <w:rFonts w:ascii="Calibri" w:hAnsi="Calibri" w:eastAsia="Calibri" w:cs="Calibri"/>
          <w:color w:val="002060"/>
          <w:sz w:val="24"/>
          <w:szCs w:val="24"/>
        </w:rPr>
      </w:pPr>
      <w:bookmarkStart w:name="_Toc2109762655" w:id="1760297335"/>
      <w:r w:rsidRPr="2FF77C75" w:rsidR="7C54500E">
        <w:rPr>
          <w:rFonts w:ascii="Calibri" w:hAnsi="Calibri" w:eastAsia="Calibri" w:cs="Calibri"/>
          <w:color w:val="002060"/>
          <w:sz w:val="24"/>
          <w:szCs w:val="24"/>
        </w:rPr>
        <w:t>Educational supervision</w:t>
      </w:r>
      <w:bookmarkEnd w:id="1760297335"/>
      <w:r w:rsidRPr="2FF77C75" w:rsidR="7C54500E">
        <w:rPr>
          <w:rFonts w:ascii="Calibri" w:hAnsi="Calibri" w:eastAsia="Calibri" w:cs="Calibri"/>
          <w:color w:val="002060"/>
          <w:sz w:val="24"/>
          <w:szCs w:val="24"/>
        </w:rPr>
        <w:t xml:space="preserve"> </w:t>
      </w:r>
    </w:p>
    <w:p w:rsidR="4C9258E6" w:rsidP="3A232ED9" w:rsidRDefault="7C54500E" w14:paraId="48159C73" w14:textId="4DB5617C">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81% of trainees were able to meet with their educational supervisor to set their personalised work schedule within two weeks of commencing their placement. This is commendable given the timing of rotations coincides with school and summer holidays. Most trainees (85.7%) felt that their induction meeting provided an effective assessment of their previous experience and current training needs and 87.5% of trainees felt that their supervisor knew them well enough to provide an overall assessment of their progress across the capabilities in practice. </w:t>
      </w:r>
    </w:p>
    <w:p w:rsidR="4C9258E6" w:rsidP="3A232ED9" w:rsidRDefault="7C54500E" w14:paraId="0112B388" w14:textId="594A42FC">
      <w:pPr>
        <w:pStyle w:val="Heading3"/>
        <w:spacing w:line="276" w:lineRule="auto"/>
        <w:rPr>
          <w:rFonts w:ascii="Calibri" w:hAnsi="Calibri" w:eastAsia="Calibri" w:cs="Calibri"/>
          <w:color w:val="002060"/>
          <w:sz w:val="24"/>
          <w:szCs w:val="24"/>
        </w:rPr>
      </w:pPr>
      <w:bookmarkStart w:name="_Toc1656851696" w:id="884852093"/>
      <w:r w:rsidRPr="2FF77C75" w:rsidR="7C54500E">
        <w:rPr>
          <w:rFonts w:ascii="Calibri" w:hAnsi="Calibri" w:eastAsia="Calibri" w:cs="Calibri"/>
          <w:color w:val="002060"/>
          <w:sz w:val="24"/>
          <w:szCs w:val="24"/>
        </w:rPr>
        <w:t>Support after adverse events</w:t>
      </w:r>
      <w:bookmarkEnd w:id="884852093"/>
    </w:p>
    <w:p w:rsidR="4C9258E6" w:rsidP="3A232ED9" w:rsidRDefault="7C54500E" w14:paraId="331A3679" w14:textId="0D40CA4E">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21% of trainees stated that they had been involved in either a serious clinical incident, adverse or untoward event or poor outcome. Of these, 78.2% of trainees either agreed or strongly </w:t>
      </w:r>
      <w:r w:rsidRPr="3A232ED9">
        <w:rPr>
          <w:rFonts w:ascii="Calibri" w:hAnsi="Calibri" w:eastAsia="Calibri" w:cs="Calibri"/>
          <w:color w:val="000000" w:themeColor="text1"/>
          <w:sz w:val="24"/>
          <w:szCs w:val="24"/>
        </w:rPr>
        <w:lastRenderedPageBreak/>
        <w:t>agreed that they felt well supported by the unit they were working in. However, this still leaves a considerable proportion who were involved in adverse events who did not feel well supported.</w:t>
      </w:r>
    </w:p>
    <w:p w:rsidR="4C9258E6" w:rsidP="3A232ED9" w:rsidRDefault="7C54500E" w14:paraId="43404100" w14:textId="7D5795C0">
      <w:pPr>
        <w:pStyle w:val="Heading3"/>
        <w:spacing w:line="276" w:lineRule="auto"/>
        <w:rPr>
          <w:rFonts w:ascii="Calibri" w:hAnsi="Calibri" w:eastAsia="Calibri" w:cs="Calibri"/>
          <w:color w:val="002060"/>
          <w:sz w:val="24"/>
          <w:szCs w:val="24"/>
        </w:rPr>
      </w:pPr>
      <w:bookmarkStart w:name="_Toc1038169303" w:id="1813605066"/>
      <w:r w:rsidRPr="2FF77C75" w:rsidR="7C54500E">
        <w:rPr>
          <w:rFonts w:ascii="Calibri" w:hAnsi="Calibri" w:eastAsia="Calibri" w:cs="Calibri"/>
          <w:color w:val="002060"/>
          <w:sz w:val="24"/>
          <w:szCs w:val="24"/>
        </w:rPr>
        <w:t>Workplace behaviours</w:t>
      </w:r>
      <w:bookmarkEnd w:id="1813605066"/>
      <w:r w:rsidRPr="2FF77C75" w:rsidR="7C54500E">
        <w:rPr>
          <w:rFonts w:ascii="Calibri" w:hAnsi="Calibri" w:eastAsia="Calibri" w:cs="Calibri"/>
          <w:color w:val="002060"/>
          <w:sz w:val="24"/>
          <w:szCs w:val="24"/>
        </w:rPr>
        <w:t xml:space="preserve"> </w:t>
      </w:r>
    </w:p>
    <w:p w:rsidR="4C9258E6" w:rsidP="3A232ED9" w:rsidRDefault="7C54500E" w14:paraId="3E1F50CE" w14:textId="2C9D08B9">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Concerningly almost one third of trainees (30.5%) were either subjected to or witnessed behaviours that they would classify as “incivility” (Figure 10).  </w:t>
      </w:r>
    </w:p>
    <w:p w:rsidR="4C9258E6" w:rsidP="3A232ED9" w:rsidRDefault="003B7C6A" w14:paraId="794D2EDB" w14:textId="14717F36">
      <w:pPr>
        <w:spacing w:line="257" w:lineRule="auto"/>
        <w:rPr>
          <w:rFonts w:ascii="Calibri" w:hAnsi="Calibri" w:eastAsia="Calibri" w:cs="Calibri"/>
          <w:color w:val="000000" w:themeColor="text1"/>
          <w:sz w:val="24"/>
          <w:szCs w:val="24"/>
        </w:rPr>
      </w:pPr>
      <w:r>
        <w:rPr>
          <w:noProof/>
          <w:lang w:eastAsia="en-GB"/>
        </w:rPr>
        <w:drawing>
          <wp:inline distT="0" distB="0" distL="0" distR="0" wp14:anchorId="6129FB94" wp14:editId="52C1044C">
            <wp:extent cx="5731510" cy="3737610"/>
            <wp:effectExtent l="0" t="0" r="2540" b="15240"/>
            <wp:docPr id="848261503" name="Chart 1">
              <a:extLst xmlns:a="http://schemas.openxmlformats.org/drawingml/2006/main">
                <a:ext uri="{FF2B5EF4-FFF2-40B4-BE49-F238E27FC236}">
                  <a16:creationId xmlns:a16="http://schemas.microsoft.com/office/drawing/2014/main" id="{8498B680-D1AE-D86A-69EB-96FB5BB6C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4C9258E6" w:rsidP="3A232ED9" w:rsidRDefault="7C54500E" w14:paraId="5F8AA44F" w14:textId="17FFFEFE">
      <w:pPr>
        <w:spacing w:line="257" w:lineRule="auto"/>
        <w:jc w:val="both"/>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10 – Percentage of respondents who have either personally experienced or seen others subjected to poor workplace behaviours </w:t>
      </w:r>
    </w:p>
    <w:p w:rsidR="4C9258E6" w:rsidP="3A232ED9" w:rsidRDefault="4C9258E6" w14:paraId="0A718E67" w14:textId="15431250">
      <w:pPr>
        <w:spacing w:line="257" w:lineRule="auto"/>
        <w:jc w:val="both"/>
        <w:rPr>
          <w:rFonts w:ascii="Calibri" w:hAnsi="Calibri" w:eastAsia="Calibri" w:cs="Calibri"/>
          <w:color w:val="000000" w:themeColor="text1"/>
          <w:sz w:val="24"/>
          <w:szCs w:val="24"/>
        </w:rPr>
      </w:pPr>
    </w:p>
    <w:p w:rsidR="4C9258E6" w:rsidP="3A232ED9" w:rsidRDefault="7C54500E" w14:paraId="5457C1AC" w14:textId="66A6C750">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There is a growing body of evidence that exposure to behaviours classified as “incivility” can have an impact on clinical performance. In our fast-paced speciality where we are frequently found managing an emergency in an operating theatre, being able to communicate effectively is essential for patient safety. Daniel Katz et al</w:t>
      </w:r>
      <w:r w:rsidRPr="3A232ED9">
        <w:rPr>
          <w:rFonts w:ascii="Calibri" w:hAnsi="Calibri" w:eastAsia="Calibri" w:cs="Calibri"/>
          <w:color w:val="000000" w:themeColor="text1"/>
          <w:sz w:val="24"/>
          <w:szCs w:val="24"/>
          <w:vertAlign w:val="superscript"/>
        </w:rPr>
        <w:t xml:space="preserve">10 </w:t>
      </w:r>
      <w:r w:rsidRPr="3A232ED9">
        <w:rPr>
          <w:rFonts w:ascii="Calibri" w:hAnsi="Calibri" w:eastAsia="Calibri" w:cs="Calibri"/>
          <w:color w:val="000000" w:themeColor="text1"/>
          <w:sz w:val="24"/>
          <w:szCs w:val="24"/>
        </w:rPr>
        <w:t xml:space="preserve">identified through a simulation study that exposure to incivility had a negative impact on performance, affecting vigilance, diagnosis, communication and patient management. </w:t>
      </w:r>
    </w:p>
    <w:p w:rsidR="4C9258E6" w:rsidP="3A232ED9" w:rsidRDefault="7C54500E" w14:paraId="1BB0022B" w14:textId="11CFCF9B">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Furthermore, Cheetham and Turner</w:t>
      </w:r>
      <w:r w:rsidRPr="3A232ED9">
        <w:rPr>
          <w:rFonts w:ascii="Calibri" w:hAnsi="Calibri" w:eastAsia="Calibri" w:cs="Calibri"/>
          <w:color w:val="000000" w:themeColor="text1"/>
          <w:sz w:val="24"/>
          <w:szCs w:val="24"/>
          <w:vertAlign w:val="superscript"/>
        </w:rPr>
        <w:t xml:space="preserve">11 </w:t>
      </w:r>
      <w:r w:rsidRPr="3A232ED9">
        <w:rPr>
          <w:rFonts w:ascii="Calibri" w:hAnsi="Calibri" w:eastAsia="Calibri" w:cs="Calibri"/>
          <w:color w:val="000000" w:themeColor="text1"/>
          <w:sz w:val="24"/>
          <w:szCs w:val="24"/>
        </w:rPr>
        <w:t xml:space="preserve">examined how an individual’s learning can also be affected by either experiencing or observing incivility. Exposure to these behaviours can contribute to stress, which detracts from our working memory and performance. Every day at work for O&amp;G trainees provides opportunities to learn, extending into life as a consultant. As such we should all be working in a workplace that is psychologically safe and free from poor workplace behaviours. </w:t>
      </w:r>
    </w:p>
    <w:p w:rsidR="4C9258E6" w:rsidP="3A232ED9" w:rsidRDefault="4C9258E6" w14:paraId="00175F4E" w14:textId="3D518247">
      <w:pPr>
        <w:spacing w:line="257" w:lineRule="auto"/>
        <w:jc w:val="both"/>
        <w:rPr>
          <w:rFonts w:ascii="Calibri" w:hAnsi="Calibri" w:eastAsia="Calibri" w:cs="Calibri"/>
          <w:color w:val="000000" w:themeColor="text1"/>
          <w:sz w:val="24"/>
          <w:szCs w:val="24"/>
        </w:rPr>
      </w:pPr>
    </w:p>
    <w:p w:rsidR="4C9258E6" w:rsidP="3A232ED9" w:rsidRDefault="7C54500E" w14:paraId="14548BDE" w14:textId="22E736DB">
      <w:pPr>
        <w:pStyle w:val="Heading3"/>
        <w:spacing w:line="276" w:lineRule="auto"/>
        <w:rPr>
          <w:rFonts w:ascii="Calibri" w:hAnsi="Calibri" w:eastAsia="Calibri" w:cs="Calibri"/>
          <w:color w:val="002060"/>
          <w:sz w:val="24"/>
          <w:szCs w:val="24"/>
        </w:rPr>
      </w:pPr>
      <w:bookmarkStart w:name="_Toc170265784" w:id="1501571455"/>
      <w:r w:rsidRPr="2FF77C75" w:rsidR="7C54500E">
        <w:rPr>
          <w:rFonts w:ascii="Calibri" w:hAnsi="Calibri" w:eastAsia="Calibri" w:cs="Calibri"/>
          <w:color w:val="002060"/>
          <w:sz w:val="24"/>
          <w:szCs w:val="24"/>
        </w:rPr>
        <w:t>Regional Workplace Behaviour Champions</w:t>
      </w:r>
      <w:bookmarkEnd w:id="1501571455"/>
      <w:r w:rsidRPr="2FF77C75" w:rsidR="7C54500E">
        <w:rPr>
          <w:rFonts w:ascii="Calibri" w:hAnsi="Calibri" w:eastAsia="Calibri" w:cs="Calibri"/>
          <w:color w:val="002060"/>
          <w:sz w:val="24"/>
          <w:szCs w:val="24"/>
        </w:rPr>
        <w:t xml:space="preserve"> </w:t>
      </w:r>
    </w:p>
    <w:p w:rsidR="4C9258E6" w:rsidP="3A232ED9" w:rsidRDefault="7C54500E" w14:paraId="3D47E050" w14:textId="67C3439B">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69% of trainees reported being aware that their deanery had a regional workplace behaviour champion (RWBC) but only 34% knew who their RWBC was. Of the trainees who have contacted their RWBC, 80% found this to be helpful and 20% did not. This suggests that the RWBC network is a valuable but underutilised resource. </w:t>
      </w:r>
    </w:p>
    <w:p w:rsidR="4C9258E6" w:rsidP="3A232ED9" w:rsidRDefault="7C54500E" w14:paraId="027C6B5C" w14:textId="21111AFB">
      <w:pPr>
        <w:pStyle w:val="Heading2"/>
        <w:spacing w:line="276" w:lineRule="auto"/>
        <w:rPr>
          <w:rFonts w:ascii="Calibri" w:hAnsi="Calibri" w:eastAsia="Calibri" w:cs="Calibri"/>
          <w:color w:val="002060"/>
          <w:sz w:val="24"/>
          <w:szCs w:val="24"/>
        </w:rPr>
      </w:pPr>
      <w:bookmarkStart w:name="_Toc1596902425" w:id="188795420"/>
      <w:r w:rsidRPr="2FF77C75" w:rsidR="7C54500E">
        <w:rPr>
          <w:rFonts w:ascii="Calibri" w:hAnsi="Calibri" w:eastAsia="Calibri" w:cs="Calibri"/>
          <w:b w:val="1"/>
          <w:bCs w:val="1"/>
          <w:color w:val="002060"/>
          <w:sz w:val="24"/>
          <w:szCs w:val="24"/>
        </w:rPr>
        <w:t>Wellbeing and work-related sickness</w:t>
      </w:r>
      <w:bookmarkEnd w:id="188795420"/>
      <w:r w:rsidRPr="2FF77C75" w:rsidR="7C54500E">
        <w:rPr>
          <w:rFonts w:ascii="Calibri" w:hAnsi="Calibri" w:eastAsia="Calibri" w:cs="Calibri"/>
          <w:b w:val="1"/>
          <w:bCs w:val="1"/>
          <w:color w:val="002060"/>
          <w:sz w:val="24"/>
          <w:szCs w:val="24"/>
        </w:rPr>
        <w:t xml:space="preserve"> </w:t>
      </w:r>
    </w:p>
    <w:p w:rsidR="4C9258E6" w:rsidP="3A232ED9" w:rsidRDefault="7C54500E" w14:paraId="55032F10" w14:textId="19F656E1">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Over the course of the last six months 245 trainees (11.1%) have had time off for work related physical or mental health issues. The majority (72.7%) felt supported to take this time off, with the remaining trainees either feeling unsupported (14.2%) or preferred not to say (13.1%). </w:t>
      </w:r>
    </w:p>
    <w:p w:rsidR="4C9258E6" w:rsidP="3A232ED9" w:rsidRDefault="4C9258E6" w14:paraId="795BBCF4" w14:textId="61210C66">
      <w:pPr>
        <w:spacing w:line="257" w:lineRule="auto"/>
        <w:rPr>
          <w:rFonts w:ascii="Calibri" w:hAnsi="Calibri" w:eastAsia="Calibri" w:cs="Calibri"/>
          <w:color w:val="000000" w:themeColor="text1"/>
          <w:sz w:val="24"/>
          <w:szCs w:val="24"/>
        </w:rPr>
      </w:pPr>
    </w:p>
    <w:p w:rsidR="003B7C6A" w:rsidP="3A232ED9" w:rsidRDefault="002F0B9E" w14:paraId="1B99BF4C" w14:textId="6D5BBA10">
      <w:pPr>
        <w:spacing w:line="257" w:lineRule="auto"/>
        <w:rPr>
          <w:rFonts w:ascii="Calibri" w:hAnsi="Calibri" w:eastAsia="Calibri" w:cs="Calibri"/>
          <w:color w:val="000000" w:themeColor="text1"/>
          <w:sz w:val="24"/>
          <w:szCs w:val="24"/>
        </w:rPr>
      </w:pPr>
      <w:r>
        <w:rPr>
          <w:noProof/>
          <w:lang w:eastAsia="en-GB"/>
        </w:rPr>
        <w:drawing>
          <wp:inline distT="0" distB="0" distL="0" distR="0" wp14:anchorId="72FDE641" wp14:editId="117741EE">
            <wp:extent cx="5213350" cy="3359150"/>
            <wp:effectExtent l="0" t="0" r="6350" b="6350"/>
            <wp:docPr id="1422299606" name="Chart 1">
              <a:extLst xmlns:a="http://schemas.openxmlformats.org/drawingml/2006/main">
                <a:ext uri="{FF2B5EF4-FFF2-40B4-BE49-F238E27FC236}">
                  <a16:creationId xmlns:a16="http://schemas.microsoft.com/office/drawing/2014/main" id="{480A4D29-D2A2-C8FA-B2A4-078058C7F7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4C9258E6" w:rsidP="3A232ED9" w:rsidRDefault="7C54500E" w14:paraId="3A4B1C0D" w14:textId="3603CC3A">
      <w:pPr>
        <w:spacing w:line="257"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11 – Graph to demonstrate number of trainees taking time off work for work related physical or mental health issues. </w:t>
      </w:r>
    </w:p>
    <w:p w:rsidR="4C9258E6" w:rsidP="3A232ED9" w:rsidRDefault="7C54500E" w14:paraId="3C13EE1E" w14:textId="4D5A5B92">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To illustrate the significance of the impact of all absences on the service, the total estimated number of workdays lost is approximately 1467 over a six-month period. Calculations to reach this figure are available in Appendix B. </w:t>
      </w:r>
    </w:p>
    <w:p w:rsidR="4C9258E6" w:rsidP="3A232ED9" w:rsidRDefault="7C54500E" w14:paraId="25BC1278" w14:textId="1A460522">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Many trainees felt that their working pattern may have contributed to their days of sickness or health concerns, with 19% agreeing and 41% agreeing in part. Other factors felt to have contributed to time off included workplace environment, colleagues, team dynamics and personal circumstances (Figure 12). This further highlights the need to improve workplace behaviours. </w:t>
      </w:r>
    </w:p>
    <w:p w:rsidR="4C9258E6" w:rsidP="3A232ED9" w:rsidRDefault="4C9258E6" w14:paraId="152DFCD7" w14:textId="328F79AE">
      <w:pPr>
        <w:spacing w:line="257" w:lineRule="auto"/>
        <w:rPr>
          <w:rFonts w:ascii="Calibri" w:hAnsi="Calibri" w:eastAsia="Calibri" w:cs="Calibri"/>
          <w:color w:val="000000" w:themeColor="text1"/>
          <w:sz w:val="24"/>
          <w:szCs w:val="24"/>
        </w:rPr>
      </w:pPr>
    </w:p>
    <w:p w:rsidR="002F0B9E" w:rsidP="3A232ED9" w:rsidRDefault="00A80E77" w14:paraId="36C87881" w14:textId="5CB9AD52">
      <w:pPr>
        <w:spacing w:line="257" w:lineRule="auto"/>
        <w:rPr>
          <w:rFonts w:ascii="Calibri" w:hAnsi="Calibri" w:eastAsia="Calibri" w:cs="Calibri"/>
          <w:i/>
          <w:iCs/>
          <w:color w:val="000000" w:themeColor="text1"/>
          <w:sz w:val="24"/>
          <w:szCs w:val="24"/>
        </w:rPr>
      </w:pPr>
      <w:r>
        <w:rPr>
          <w:noProof/>
          <w:lang w:eastAsia="en-GB"/>
        </w:rPr>
        <w:drawing>
          <wp:inline distT="0" distB="0" distL="0" distR="0" wp14:anchorId="5A3B0684" wp14:editId="2575ED17">
            <wp:extent cx="4545060" cy="2772064"/>
            <wp:effectExtent l="0" t="0" r="14605" b="9525"/>
            <wp:docPr id="1172853195" name="Chart 1">
              <a:extLst xmlns:a="http://schemas.openxmlformats.org/drawingml/2006/main">
                <a:ext uri="{FF2B5EF4-FFF2-40B4-BE49-F238E27FC236}">
                  <a16:creationId xmlns:a16="http://schemas.microsoft.com/office/drawing/2014/main" id="{23028CBD-CB1A-B5ED-FA58-C7F2402452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4C9258E6" w:rsidP="3A232ED9" w:rsidRDefault="7C54500E" w14:paraId="14841C4B" w14:textId="5AB30E18">
      <w:pPr>
        <w:spacing w:line="257"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 Figure 12 – Graph examining which other factors were perceived to contribute to having time off work due to sickness or health concerns. </w:t>
      </w:r>
    </w:p>
    <w:p w:rsidR="4C9258E6" w:rsidP="3A232ED9" w:rsidRDefault="7C54500E" w14:paraId="61521DE9" w14:textId="6C0AA027">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factor “Workplace environment” was examined in more detail and divided between deaneries. 7.2% of trainees who felt that their workplace environment had contributed to taking time off worked within Health Education and Improvement Wales. Next was HEE Northwest at 5% and HEE Wessex at 4.9%. There did not appear to be a correlation between the number of births per year at a unit and workplace environment which could suggest that individual’s experiences of a unit can vary vastly and perhaps there are other unmeasured factors contributing to their experience. </w:t>
      </w:r>
    </w:p>
    <w:p w:rsidR="4C9258E6" w:rsidP="3A232ED9" w:rsidRDefault="7C54500E" w14:paraId="5170B888" w14:textId="0BA9601E">
      <w:pPr>
        <w:spacing w:line="257" w:lineRule="auto"/>
        <w:rPr>
          <w:rFonts w:ascii="Calibri" w:hAnsi="Calibri" w:eastAsia="Calibri" w:cs="Calibri"/>
          <w:color w:val="EE0000"/>
          <w:sz w:val="24"/>
          <w:szCs w:val="24"/>
        </w:rPr>
      </w:pPr>
      <w:r w:rsidRPr="3A232ED9">
        <w:rPr>
          <w:rFonts w:ascii="Calibri" w:hAnsi="Calibri" w:eastAsia="Calibri" w:cs="Calibri"/>
          <w:b/>
          <w:bCs/>
          <w:color w:val="EE0000"/>
          <w:sz w:val="24"/>
          <w:szCs w:val="24"/>
        </w:rPr>
        <w:t xml:space="preserve"> </w:t>
      </w:r>
    </w:p>
    <w:p w:rsidR="4C9258E6" w:rsidP="3A232ED9" w:rsidRDefault="7C54500E" w14:paraId="19CBF0B5" w14:textId="1F402573">
      <w:pPr>
        <w:pStyle w:val="Heading2"/>
        <w:spacing w:line="276" w:lineRule="auto"/>
        <w:rPr>
          <w:rFonts w:ascii="Calibri" w:hAnsi="Calibri" w:eastAsia="Calibri" w:cs="Calibri"/>
          <w:color w:val="002060"/>
          <w:sz w:val="24"/>
          <w:szCs w:val="24"/>
        </w:rPr>
      </w:pPr>
      <w:bookmarkStart w:name="_Toc469185695" w:id="1110479525"/>
      <w:r w:rsidRPr="2FF77C75" w:rsidR="7C54500E">
        <w:rPr>
          <w:rFonts w:ascii="Calibri" w:hAnsi="Calibri" w:eastAsia="Calibri" w:cs="Calibri"/>
          <w:b w:val="1"/>
          <w:bCs w:val="1"/>
          <w:color w:val="002060"/>
          <w:sz w:val="24"/>
          <w:szCs w:val="24"/>
        </w:rPr>
        <w:t>Burnout</w:t>
      </w:r>
      <w:bookmarkEnd w:id="1110479525"/>
    </w:p>
    <w:p w:rsidR="4C9258E6" w:rsidP="3A232ED9" w:rsidRDefault="7C54500E" w14:paraId="56F0C7B8" w14:textId="542AB90F">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Burnout remains a serious threat to the professional growth of O&amp;G trainees and the health care system resilience. For the first time, the 2025 TEF survey implemented the Copenhagen Burnout Inventory (CBI) tool to identify trainees’ risk of burnout (high, moderate and low risk), using the seven work-related questions. This data has been used to measure prevalence by deanery and to test the relationship between work-related factors such as satisfaction with placement, sickness absence, retention, and workplace culture and the level of burnout.</w:t>
      </w:r>
    </w:p>
    <w:p w:rsidR="4C9258E6" w:rsidP="3A232ED9" w:rsidRDefault="7C54500E" w14:paraId="666C229F" w14:textId="6DAB2FC7">
      <w:pPr>
        <w:pStyle w:val="Heading3"/>
        <w:spacing w:line="276" w:lineRule="auto"/>
        <w:rPr>
          <w:rFonts w:ascii="Calibri" w:hAnsi="Calibri" w:eastAsia="Calibri" w:cs="Calibri"/>
          <w:color w:val="002060"/>
          <w:sz w:val="24"/>
          <w:szCs w:val="24"/>
        </w:rPr>
      </w:pPr>
      <w:bookmarkStart w:name="_Toc1408595476" w:id="1874938876"/>
      <w:r w:rsidRPr="2FF77C75" w:rsidR="7C54500E">
        <w:rPr>
          <w:rFonts w:ascii="Calibri" w:hAnsi="Calibri" w:eastAsia="Calibri" w:cs="Calibri"/>
          <w:color w:val="002060"/>
          <w:sz w:val="24"/>
          <w:szCs w:val="24"/>
        </w:rPr>
        <w:t>Prevalence of Burnout</w:t>
      </w:r>
      <w:bookmarkEnd w:id="1874938876"/>
    </w:p>
    <w:p w:rsidR="4C9258E6" w:rsidP="3A232ED9" w:rsidRDefault="7C54500E" w14:paraId="7FF8D1A8" w14:textId="7B5F03ED">
      <w:pPr>
        <w:spacing w:line="276" w:lineRule="auto"/>
        <w:rPr>
          <w:rFonts w:ascii="Calibri" w:hAnsi="Calibri" w:eastAsia="Calibri" w:cs="Calibri"/>
          <w:color w:val="77206D"/>
          <w:sz w:val="24"/>
          <w:szCs w:val="24"/>
        </w:rPr>
      </w:pPr>
      <w:r w:rsidRPr="3A232ED9">
        <w:rPr>
          <w:rFonts w:ascii="Calibri" w:hAnsi="Calibri" w:eastAsia="Calibri" w:cs="Calibri"/>
          <w:color w:val="000000" w:themeColor="text1"/>
          <w:sz w:val="24"/>
          <w:szCs w:val="24"/>
        </w:rPr>
        <w:t>Overall, high burnout was observed in 15% of trainees, moderate burnout affected 47% and the remaining 39% were categorised as having low levels of burnout (Figure 13)</w:t>
      </w:r>
      <w:r w:rsidRPr="3A232ED9">
        <w:rPr>
          <w:rFonts w:ascii="Calibri" w:hAnsi="Calibri" w:eastAsia="Calibri" w:cs="Calibri"/>
          <w:color w:val="77206D"/>
          <w:sz w:val="24"/>
          <w:szCs w:val="24"/>
        </w:rPr>
        <w:t xml:space="preserve">. </w:t>
      </w:r>
    </w:p>
    <w:p w:rsidR="4C9258E6" w:rsidP="3A232ED9" w:rsidRDefault="4C9258E6" w14:paraId="55D67A4B" w14:textId="795663CE">
      <w:pPr>
        <w:spacing w:after="0" w:line="276" w:lineRule="auto"/>
        <w:rPr>
          <w:rFonts w:ascii="Aptos" w:hAnsi="Aptos" w:eastAsia="Aptos" w:cs="Aptos"/>
          <w:color w:val="000000" w:themeColor="text1"/>
          <w:sz w:val="24"/>
          <w:szCs w:val="24"/>
        </w:rPr>
      </w:pPr>
    </w:p>
    <w:p w:rsidR="4C9258E6" w:rsidP="3A232ED9" w:rsidRDefault="7C54500E" w14:paraId="6871FC9F" w14:textId="3C45F8C5">
      <w:pPr>
        <w:spacing w:after="0" w:line="276" w:lineRule="auto"/>
        <w:rPr>
          <w:rFonts w:ascii="Calibri" w:hAnsi="Calibri" w:eastAsia="Calibri" w:cs="Calibri"/>
          <w:b/>
          <w:bCs/>
          <w:i/>
          <w:iCs/>
          <w:color w:val="000000" w:themeColor="text1"/>
          <w:sz w:val="24"/>
          <w:szCs w:val="24"/>
        </w:rPr>
      </w:pPr>
      <w:r w:rsidRPr="3A232ED9">
        <w:rPr>
          <w:rFonts w:ascii="Calibri" w:hAnsi="Calibri" w:eastAsia="Calibri" w:cs="Calibri"/>
          <w:b/>
          <w:bCs/>
          <w:i/>
          <w:iCs/>
          <w:color w:val="000000" w:themeColor="text1"/>
          <w:sz w:val="24"/>
          <w:szCs w:val="24"/>
        </w:rPr>
        <w:t xml:space="preserve">Figure 13 – Proportion of trainees identified as being at low, moderate or high risk of burnout </w:t>
      </w:r>
    </w:p>
    <w:p w:rsidR="002C5396" w:rsidP="3A232ED9" w:rsidRDefault="002C5396" w14:paraId="12E56B4C" w14:textId="77777777">
      <w:pPr>
        <w:spacing w:after="0" w:line="276" w:lineRule="auto"/>
        <w:rPr>
          <w:rFonts w:ascii="Calibri" w:hAnsi="Calibri" w:eastAsia="Calibri" w:cs="Calibri"/>
          <w:b/>
          <w:bCs/>
          <w:i/>
          <w:iCs/>
          <w:color w:val="000000" w:themeColor="text1"/>
          <w:sz w:val="24"/>
          <w:szCs w:val="24"/>
        </w:rPr>
      </w:pPr>
    </w:p>
    <w:p w:rsidR="002C5396" w:rsidP="3A232ED9" w:rsidRDefault="002C5396" w14:paraId="1323871B" w14:textId="77777777">
      <w:pPr>
        <w:spacing w:after="0" w:line="276" w:lineRule="auto"/>
        <w:rPr>
          <w:rFonts w:ascii="Calibri" w:hAnsi="Calibri" w:eastAsia="Calibri" w:cs="Calibri"/>
          <w:color w:val="000000" w:themeColor="text1"/>
          <w:sz w:val="24"/>
          <w:szCs w:val="24"/>
        </w:rPr>
      </w:pPr>
    </w:p>
    <w:p w:rsidR="4C9258E6" w:rsidP="3A232ED9" w:rsidRDefault="002C5396" w14:paraId="3D0CAF85" w14:textId="4569C7CF">
      <w:pPr>
        <w:spacing w:line="276" w:lineRule="auto"/>
        <w:jc w:val="both"/>
        <w:rPr>
          <w:rFonts w:ascii="Calibri" w:hAnsi="Calibri" w:eastAsia="Calibri" w:cs="Calibri"/>
          <w:color w:val="000000" w:themeColor="text1"/>
          <w:sz w:val="24"/>
          <w:szCs w:val="24"/>
        </w:rPr>
      </w:pPr>
      <w:r>
        <w:rPr>
          <w:noProof/>
          <w:lang w:eastAsia="en-GB"/>
        </w:rPr>
        <w:drawing>
          <wp:inline distT="0" distB="0" distL="0" distR="0" wp14:anchorId="06233368" wp14:editId="0F77E324">
            <wp:extent cx="4585972" cy="2364108"/>
            <wp:effectExtent l="0" t="0" r="0" b="0"/>
            <wp:docPr id="13907272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4C9258E6" w:rsidP="3A232ED9" w:rsidRDefault="7C54500E" w14:paraId="55F9EBEB" w14:textId="41521D06">
      <w:pPr>
        <w:spacing w:line="276" w:lineRule="auto"/>
        <w:jc w:val="both"/>
        <w:rPr>
          <w:rFonts w:ascii="Calibri" w:hAnsi="Calibri" w:eastAsia="Calibri" w:cs="Calibri"/>
          <w:color w:val="000000" w:themeColor="text1"/>
          <w:sz w:val="24"/>
          <w:szCs w:val="24"/>
        </w:rPr>
      </w:pPr>
      <w:r w:rsidRPr="17736A2F" w:rsidR="11F5570D">
        <w:rPr>
          <w:rFonts w:ascii="Calibri" w:hAnsi="Calibri" w:eastAsia="Calibri" w:cs="Calibri"/>
          <w:color w:val="000000" w:themeColor="text1" w:themeTint="FF" w:themeShade="FF"/>
          <w:sz w:val="24"/>
          <w:szCs w:val="24"/>
        </w:rPr>
        <w:t xml:space="preserve">Figures 14 and 15 demonstrate the burnout prevalence by deanery. High burnout rates varied from 8% (HEE </w:t>
      </w:r>
      <w:r w:rsidRPr="17736A2F" w:rsidR="11F5570D">
        <w:rPr>
          <w:rFonts w:ascii="Calibri" w:hAnsi="Calibri" w:eastAsia="Calibri" w:cs="Calibri"/>
          <w:color w:val="000000" w:themeColor="text1" w:themeTint="FF" w:themeShade="FF"/>
          <w:sz w:val="24"/>
          <w:szCs w:val="24"/>
        </w:rPr>
        <w:t>North East</w:t>
      </w:r>
      <w:r w:rsidRPr="17736A2F" w:rsidR="11F5570D">
        <w:rPr>
          <w:rFonts w:ascii="Calibri" w:hAnsi="Calibri" w:eastAsia="Calibri" w:cs="Calibri"/>
          <w:color w:val="000000" w:themeColor="text1" w:themeTint="FF" w:themeShade="FF"/>
          <w:sz w:val="24"/>
          <w:szCs w:val="24"/>
        </w:rPr>
        <w:t xml:space="preserve">) to 19% (Health Education and Improvement Wales), whereas moderate burnout was between 32% (Wales) to 52% (HEE East of England). Low burnout varied from 33% (HEE </w:t>
      </w:r>
      <w:r w:rsidRPr="17736A2F" w:rsidR="11F5570D">
        <w:rPr>
          <w:rFonts w:ascii="Calibri" w:hAnsi="Calibri" w:eastAsia="Calibri" w:cs="Calibri"/>
          <w:color w:val="000000" w:themeColor="text1" w:themeTint="FF" w:themeShade="FF"/>
          <w:sz w:val="24"/>
          <w:szCs w:val="24"/>
        </w:rPr>
        <w:t>North West</w:t>
      </w:r>
      <w:r w:rsidRPr="17736A2F" w:rsidR="11F5570D">
        <w:rPr>
          <w:rFonts w:ascii="Calibri" w:hAnsi="Calibri" w:eastAsia="Calibri" w:cs="Calibri"/>
          <w:color w:val="000000" w:themeColor="text1" w:themeTint="FF" w:themeShade="FF"/>
          <w:sz w:val="24"/>
          <w:szCs w:val="24"/>
        </w:rPr>
        <w:t xml:space="preserve"> London) to 49% (NHS Education and Improvement Wales). Most regions had 13-17% of their trainees affected by high levels of burnout and 45-50% affected by moderate levels of burnout. </w:t>
      </w:r>
    </w:p>
    <w:p w:rsidR="0B8E3952" w:rsidP="17736A2F" w:rsidRDefault="0B8E3952" w14:paraId="2132333F" w14:textId="1569777B">
      <w:pPr>
        <w:pStyle w:val="Normal"/>
        <w:spacing w:line="276" w:lineRule="auto"/>
        <w:jc w:val="both"/>
      </w:pPr>
      <w:r w:rsidR="0B8E3952">
        <w:drawing>
          <wp:inline wp14:editId="189C3451" wp14:anchorId="6BD24948">
            <wp:extent cx="5238750" cy="2762250"/>
            <wp:effectExtent l="0" t="0" r="0" b="0"/>
            <wp:docPr id="1492282586" name="drawing" title="A graph of different colored lines&#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492282586" name="Picture 1492282586"/>
                    <pic:cNvPicPr/>
                  </pic:nvPicPr>
                  <pic:blipFill>
                    <a:blip xmlns:r="http://schemas.openxmlformats.org/officeDocument/2006/relationships" r:embed="rId577274539">
                      <a:extLst>
                        <a:ext uri="{28A0092B-C50C-407E-A947-70E740481C1C}">
                          <a14:useLocalDpi xmlns:a14="http://schemas.microsoft.com/office/drawing/2010/main"/>
                        </a:ext>
                      </a:extLst>
                    </a:blip>
                    <a:stretch>
                      <a:fillRect/>
                    </a:stretch>
                  </pic:blipFill>
                  <pic:spPr>
                    <a:xfrm>
                      <a:off x="0" y="0"/>
                      <a:ext cx="5238750" cy="2762250"/>
                    </a:xfrm>
                    <a:prstGeom prst="rect">
                      <a:avLst/>
                    </a:prstGeom>
                  </pic:spPr>
                </pic:pic>
              </a:graphicData>
            </a:graphic>
          </wp:inline>
        </w:drawing>
      </w:r>
    </w:p>
    <w:p w:rsidR="4C9258E6" w:rsidP="3A232ED9" w:rsidRDefault="7C54500E" w14:paraId="47A40C84" w14:textId="7128F898">
      <w:pPr>
        <w:spacing w:after="0"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 Figure 14 – Burnout Prevalence by Deanery</w:t>
      </w:r>
    </w:p>
    <w:p w:rsidR="4C9258E6" w:rsidP="3A232ED9" w:rsidRDefault="7C54500E" w14:paraId="1B92FE06" w14:textId="11246E8F">
      <w:pPr>
        <w:spacing w:after="0" w:line="276" w:lineRule="auto"/>
        <w:rPr>
          <w:rFonts w:ascii="Calibri" w:hAnsi="Calibri" w:eastAsia="Calibri" w:cs="Calibri"/>
          <w:color w:val="000000" w:themeColor="text1"/>
          <w:sz w:val="18"/>
          <w:szCs w:val="18"/>
        </w:rPr>
      </w:pPr>
      <w:r w:rsidRPr="3A232ED9">
        <w:rPr>
          <w:rFonts w:ascii="Calibri" w:hAnsi="Calibri" w:eastAsia="Calibri" w:cs="Calibri"/>
          <w:i/>
          <w:iCs/>
          <w:color w:val="000000" w:themeColor="text1"/>
          <w:sz w:val="18"/>
          <w:szCs w:val="18"/>
        </w:rPr>
        <w:t xml:space="preserve"> </w:t>
      </w: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3960"/>
        <w:gridCol w:w="1275"/>
        <w:gridCol w:w="1215"/>
        <w:gridCol w:w="1125"/>
        <w:gridCol w:w="1275"/>
      </w:tblGrid>
      <w:tr w:rsidR="3A232ED9" w:rsidTr="3A232ED9" w14:paraId="4DC3B25A"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69C2750" w14:textId="22436818">
            <w:pPr>
              <w:spacing w:after="0" w:line="240" w:lineRule="auto"/>
              <w:jc w:val="both"/>
              <w:rPr>
                <w:rFonts w:ascii="Calibri" w:hAnsi="Calibri" w:eastAsia="Calibri" w:cs="Calibri"/>
                <w:sz w:val="24"/>
                <w:szCs w:val="24"/>
              </w:rPr>
            </w:pPr>
            <w:r w:rsidRPr="3A232ED9">
              <w:rPr>
                <w:rFonts w:ascii="Calibri" w:hAnsi="Calibri" w:eastAsia="Calibri" w:cs="Calibri"/>
                <w:b/>
                <w:bCs/>
                <w:sz w:val="24"/>
                <w:szCs w:val="24"/>
              </w:rPr>
              <w:t>Region</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5CEA5FD" w14:textId="4C442B13">
            <w:pPr>
              <w:spacing w:after="0" w:line="240" w:lineRule="auto"/>
              <w:jc w:val="both"/>
              <w:rPr>
                <w:rFonts w:ascii="Calibri" w:hAnsi="Calibri" w:eastAsia="Calibri" w:cs="Calibri"/>
                <w:sz w:val="24"/>
                <w:szCs w:val="24"/>
              </w:rPr>
            </w:pPr>
            <w:r w:rsidRPr="3A232ED9">
              <w:rPr>
                <w:rFonts w:ascii="Calibri" w:hAnsi="Calibri" w:eastAsia="Calibri" w:cs="Calibri"/>
                <w:b/>
                <w:bCs/>
                <w:sz w:val="24"/>
                <w:szCs w:val="24"/>
              </w:rPr>
              <w:t>High</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1D810C7" w14:textId="539B33BC">
            <w:pPr>
              <w:spacing w:after="0" w:line="240" w:lineRule="auto"/>
              <w:jc w:val="both"/>
              <w:rPr>
                <w:rFonts w:ascii="Calibri" w:hAnsi="Calibri" w:eastAsia="Calibri" w:cs="Calibri"/>
                <w:sz w:val="24"/>
                <w:szCs w:val="24"/>
              </w:rPr>
            </w:pPr>
            <w:r w:rsidRPr="3A232ED9">
              <w:rPr>
                <w:rFonts w:ascii="Calibri" w:hAnsi="Calibri" w:eastAsia="Calibri" w:cs="Calibri"/>
                <w:b/>
                <w:bCs/>
                <w:sz w:val="24"/>
                <w:szCs w:val="24"/>
              </w:rPr>
              <w:t>Moderate</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03DF017" w14:textId="76453CFC">
            <w:pPr>
              <w:spacing w:after="0" w:line="240" w:lineRule="auto"/>
              <w:jc w:val="both"/>
              <w:rPr>
                <w:rFonts w:ascii="Calibri" w:hAnsi="Calibri" w:eastAsia="Calibri" w:cs="Calibri"/>
                <w:sz w:val="24"/>
                <w:szCs w:val="24"/>
              </w:rPr>
            </w:pPr>
            <w:r w:rsidRPr="3A232ED9">
              <w:rPr>
                <w:rFonts w:ascii="Calibri" w:hAnsi="Calibri" w:eastAsia="Calibri" w:cs="Calibri"/>
                <w:b/>
                <w:bCs/>
                <w:sz w:val="24"/>
                <w:szCs w:val="24"/>
              </w:rPr>
              <w:t>Low</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BA3368D" w14:textId="195F2A36">
            <w:pPr>
              <w:spacing w:after="0" w:line="240" w:lineRule="auto"/>
              <w:jc w:val="both"/>
              <w:rPr>
                <w:rFonts w:ascii="Calibri" w:hAnsi="Calibri" w:eastAsia="Calibri" w:cs="Calibri"/>
                <w:sz w:val="24"/>
                <w:szCs w:val="24"/>
              </w:rPr>
            </w:pPr>
            <w:r w:rsidRPr="3A232ED9">
              <w:rPr>
                <w:rFonts w:ascii="Calibri" w:hAnsi="Calibri" w:eastAsia="Calibri" w:cs="Calibri"/>
                <w:b/>
                <w:bCs/>
                <w:sz w:val="24"/>
                <w:szCs w:val="24"/>
              </w:rPr>
              <w:t>N</w:t>
            </w:r>
          </w:p>
        </w:tc>
      </w:tr>
      <w:tr w:rsidR="3A232ED9" w:rsidTr="3A232ED9" w14:paraId="66468575"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968778F" w14:textId="448C18C0">
            <w:pPr>
              <w:spacing w:after="0" w:line="240" w:lineRule="auto"/>
              <w:rPr>
                <w:rFonts w:ascii="Calibri" w:hAnsi="Calibri" w:eastAsia="Calibri" w:cs="Calibri"/>
                <w:sz w:val="24"/>
                <w:szCs w:val="24"/>
              </w:rPr>
            </w:pPr>
            <w:r w:rsidRPr="3A232ED9">
              <w:rPr>
                <w:rFonts w:ascii="Calibri" w:hAnsi="Calibri" w:eastAsia="Calibri" w:cs="Calibri"/>
                <w:sz w:val="24"/>
                <w:szCs w:val="24"/>
              </w:rPr>
              <w:t>HEE East Midlands</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448EA7A2" w14:textId="74EB8432">
            <w:pPr>
              <w:spacing w:after="0" w:line="240" w:lineRule="auto"/>
              <w:rPr>
                <w:rFonts w:ascii="Calibri" w:hAnsi="Calibri" w:eastAsia="Calibri" w:cs="Calibri"/>
                <w:sz w:val="24"/>
                <w:szCs w:val="24"/>
              </w:rPr>
            </w:pPr>
            <w:r w:rsidRPr="3A232ED9">
              <w:rPr>
                <w:rFonts w:ascii="Calibri" w:hAnsi="Calibri" w:eastAsia="Calibri" w:cs="Calibri"/>
                <w:sz w:val="24"/>
                <w:szCs w:val="24"/>
              </w:rPr>
              <w:t>18%</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8E5E213" w14:textId="3181617C">
            <w:pPr>
              <w:spacing w:after="0" w:line="240" w:lineRule="auto"/>
              <w:rPr>
                <w:rFonts w:ascii="Calibri" w:hAnsi="Calibri" w:eastAsia="Calibri" w:cs="Calibri"/>
                <w:sz w:val="24"/>
                <w:szCs w:val="24"/>
              </w:rPr>
            </w:pPr>
            <w:r w:rsidRPr="3A232ED9">
              <w:rPr>
                <w:rFonts w:ascii="Calibri" w:hAnsi="Calibri" w:eastAsia="Calibri" w:cs="Calibri"/>
                <w:sz w:val="24"/>
                <w:szCs w:val="24"/>
              </w:rPr>
              <w:t>44%</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7D5936F" w14:textId="25A2F482">
            <w:pPr>
              <w:spacing w:after="0" w:line="240" w:lineRule="auto"/>
              <w:rPr>
                <w:rFonts w:ascii="Calibri" w:hAnsi="Calibri" w:eastAsia="Calibri" w:cs="Calibri"/>
                <w:sz w:val="24"/>
                <w:szCs w:val="24"/>
              </w:rPr>
            </w:pPr>
            <w:r w:rsidRPr="3A232ED9">
              <w:rPr>
                <w:rFonts w:ascii="Calibri" w:hAnsi="Calibri" w:eastAsia="Calibri" w:cs="Calibri"/>
                <w:sz w:val="24"/>
                <w:szCs w:val="24"/>
              </w:rPr>
              <w:t>38%</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099EF40" w14:textId="574A223F">
            <w:pPr>
              <w:spacing w:after="0" w:line="240" w:lineRule="auto"/>
              <w:rPr>
                <w:rFonts w:ascii="Calibri" w:hAnsi="Calibri" w:eastAsia="Calibri" w:cs="Calibri"/>
                <w:sz w:val="24"/>
                <w:szCs w:val="24"/>
              </w:rPr>
            </w:pPr>
            <w:r w:rsidRPr="3A232ED9">
              <w:rPr>
                <w:rFonts w:ascii="Calibri" w:hAnsi="Calibri" w:eastAsia="Calibri" w:cs="Calibri"/>
                <w:sz w:val="24"/>
                <w:szCs w:val="24"/>
              </w:rPr>
              <w:t>160</w:t>
            </w:r>
          </w:p>
        </w:tc>
      </w:tr>
      <w:tr w:rsidR="3A232ED9" w:rsidTr="3A232ED9" w14:paraId="10150778"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39631D9" w14:textId="121B3BD1">
            <w:pPr>
              <w:spacing w:after="0" w:line="240" w:lineRule="auto"/>
              <w:rPr>
                <w:rFonts w:ascii="Calibri" w:hAnsi="Calibri" w:eastAsia="Calibri" w:cs="Calibri"/>
                <w:sz w:val="24"/>
                <w:szCs w:val="24"/>
              </w:rPr>
            </w:pPr>
            <w:r w:rsidRPr="3A232ED9">
              <w:rPr>
                <w:rFonts w:ascii="Calibri" w:hAnsi="Calibri" w:eastAsia="Calibri" w:cs="Calibri"/>
                <w:sz w:val="24"/>
                <w:szCs w:val="24"/>
              </w:rPr>
              <w:t>HEE East of England</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0B6EBBF" w14:textId="4ACAE3CC">
            <w:pPr>
              <w:spacing w:after="0" w:line="240" w:lineRule="auto"/>
              <w:rPr>
                <w:rFonts w:ascii="Calibri" w:hAnsi="Calibri" w:eastAsia="Calibri" w:cs="Calibri"/>
                <w:sz w:val="24"/>
                <w:szCs w:val="24"/>
              </w:rPr>
            </w:pPr>
            <w:r w:rsidRPr="3A232ED9">
              <w:rPr>
                <w:rFonts w:ascii="Calibri" w:hAnsi="Calibri" w:eastAsia="Calibri" w:cs="Calibri"/>
                <w:sz w:val="24"/>
                <w:szCs w:val="24"/>
              </w:rPr>
              <w:t>13%</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57E1455" w14:textId="3865F9AB">
            <w:pPr>
              <w:spacing w:after="0" w:line="240" w:lineRule="auto"/>
              <w:rPr>
                <w:rFonts w:ascii="Calibri" w:hAnsi="Calibri" w:eastAsia="Calibri" w:cs="Calibri"/>
                <w:sz w:val="24"/>
                <w:szCs w:val="24"/>
              </w:rPr>
            </w:pPr>
            <w:r w:rsidRPr="3A232ED9">
              <w:rPr>
                <w:rFonts w:ascii="Calibri" w:hAnsi="Calibri" w:eastAsia="Calibri" w:cs="Calibri"/>
                <w:sz w:val="24"/>
                <w:szCs w:val="24"/>
              </w:rPr>
              <w:t>52%</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BBF36F1" w14:textId="52A68964">
            <w:pPr>
              <w:spacing w:after="0" w:line="240" w:lineRule="auto"/>
              <w:rPr>
                <w:rFonts w:ascii="Calibri" w:hAnsi="Calibri" w:eastAsia="Calibri" w:cs="Calibri"/>
                <w:sz w:val="24"/>
                <w:szCs w:val="24"/>
              </w:rPr>
            </w:pPr>
            <w:r w:rsidRPr="3A232ED9">
              <w:rPr>
                <w:rFonts w:ascii="Calibri" w:hAnsi="Calibri" w:eastAsia="Calibri" w:cs="Calibri"/>
                <w:sz w:val="24"/>
                <w:szCs w:val="24"/>
              </w:rPr>
              <w:t>35%</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AD6A68A" w14:textId="4C8CAA96">
            <w:pPr>
              <w:spacing w:after="0" w:line="240" w:lineRule="auto"/>
              <w:rPr>
                <w:rFonts w:ascii="Calibri" w:hAnsi="Calibri" w:eastAsia="Calibri" w:cs="Calibri"/>
                <w:sz w:val="24"/>
                <w:szCs w:val="24"/>
              </w:rPr>
            </w:pPr>
            <w:r w:rsidRPr="3A232ED9">
              <w:rPr>
                <w:rFonts w:ascii="Calibri" w:hAnsi="Calibri" w:eastAsia="Calibri" w:cs="Calibri"/>
                <w:sz w:val="24"/>
                <w:szCs w:val="24"/>
              </w:rPr>
              <w:t>167</w:t>
            </w:r>
          </w:p>
        </w:tc>
      </w:tr>
      <w:tr w:rsidR="3A232ED9" w:rsidTr="3A232ED9" w14:paraId="40A1C06E"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FB03691" w14:textId="4DFECD65">
            <w:pPr>
              <w:spacing w:after="0" w:line="240" w:lineRule="auto"/>
              <w:rPr>
                <w:rFonts w:ascii="Calibri" w:hAnsi="Calibri" w:eastAsia="Calibri" w:cs="Calibri"/>
                <w:sz w:val="24"/>
                <w:szCs w:val="24"/>
              </w:rPr>
            </w:pPr>
            <w:r w:rsidRPr="3A232ED9">
              <w:rPr>
                <w:rFonts w:ascii="Calibri" w:hAnsi="Calibri" w:eastAsia="Calibri" w:cs="Calibri"/>
                <w:sz w:val="24"/>
                <w:szCs w:val="24"/>
              </w:rPr>
              <w:t>HEE Kent, Surrey &amp; Sussex</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B4019D0" w14:textId="1E63542D">
            <w:pPr>
              <w:spacing w:after="0" w:line="240" w:lineRule="auto"/>
              <w:rPr>
                <w:rFonts w:ascii="Calibri" w:hAnsi="Calibri" w:eastAsia="Calibri" w:cs="Calibri"/>
                <w:sz w:val="24"/>
                <w:szCs w:val="24"/>
              </w:rPr>
            </w:pPr>
            <w:r w:rsidRPr="3A232ED9">
              <w:rPr>
                <w:rFonts w:ascii="Calibri" w:hAnsi="Calibri" w:eastAsia="Calibri" w:cs="Calibri"/>
                <w:sz w:val="24"/>
                <w:szCs w:val="24"/>
              </w:rPr>
              <w:t>15%</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7A9025B" w14:textId="358A25FE">
            <w:pPr>
              <w:spacing w:after="0" w:line="240" w:lineRule="auto"/>
              <w:rPr>
                <w:rFonts w:ascii="Calibri" w:hAnsi="Calibri" w:eastAsia="Calibri" w:cs="Calibri"/>
                <w:sz w:val="24"/>
                <w:szCs w:val="24"/>
              </w:rPr>
            </w:pPr>
            <w:r w:rsidRPr="3A232ED9">
              <w:rPr>
                <w:rFonts w:ascii="Calibri" w:hAnsi="Calibri" w:eastAsia="Calibri" w:cs="Calibri"/>
                <w:sz w:val="24"/>
                <w:szCs w:val="24"/>
              </w:rPr>
              <w:t>50%</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5122D88" w14:textId="67DA8CD2">
            <w:pPr>
              <w:spacing w:after="0" w:line="240" w:lineRule="auto"/>
              <w:rPr>
                <w:rFonts w:ascii="Calibri" w:hAnsi="Calibri" w:eastAsia="Calibri" w:cs="Calibri"/>
                <w:sz w:val="24"/>
                <w:szCs w:val="24"/>
              </w:rPr>
            </w:pPr>
            <w:r w:rsidRPr="3A232ED9">
              <w:rPr>
                <w:rFonts w:ascii="Calibri" w:hAnsi="Calibri" w:eastAsia="Calibri" w:cs="Calibri"/>
                <w:sz w:val="24"/>
                <w:szCs w:val="24"/>
              </w:rPr>
              <w:t>35%</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48D469D" w14:textId="7933E46E">
            <w:pPr>
              <w:spacing w:after="0" w:line="240" w:lineRule="auto"/>
              <w:rPr>
                <w:rFonts w:ascii="Calibri" w:hAnsi="Calibri" w:eastAsia="Calibri" w:cs="Calibri"/>
                <w:sz w:val="24"/>
                <w:szCs w:val="24"/>
              </w:rPr>
            </w:pPr>
            <w:r w:rsidRPr="3A232ED9">
              <w:rPr>
                <w:rFonts w:ascii="Calibri" w:hAnsi="Calibri" w:eastAsia="Calibri" w:cs="Calibri"/>
                <w:sz w:val="24"/>
                <w:szCs w:val="24"/>
              </w:rPr>
              <w:t>130</w:t>
            </w:r>
          </w:p>
        </w:tc>
      </w:tr>
      <w:tr w:rsidR="3A232ED9" w:rsidTr="3A232ED9" w14:paraId="0DD9FFBB"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9D01785" w14:textId="4ACC357B">
            <w:pPr>
              <w:spacing w:after="0" w:line="240" w:lineRule="auto"/>
              <w:rPr>
                <w:rFonts w:ascii="Calibri" w:hAnsi="Calibri" w:eastAsia="Calibri" w:cs="Calibri"/>
                <w:sz w:val="24"/>
                <w:szCs w:val="24"/>
              </w:rPr>
            </w:pPr>
            <w:r w:rsidRPr="3A232ED9">
              <w:rPr>
                <w:rFonts w:ascii="Calibri" w:hAnsi="Calibri" w:eastAsia="Calibri" w:cs="Calibri"/>
                <w:sz w:val="24"/>
                <w:szCs w:val="24"/>
              </w:rPr>
              <w:t>HEE North Central &amp; East London</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2BB971F" w14:textId="29D18085">
            <w:pPr>
              <w:spacing w:after="0" w:line="240" w:lineRule="auto"/>
              <w:rPr>
                <w:rFonts w:ascii="Calibri" w:hAnsi="Calibri" w:eastAsia="Calibri" w:cs="Calibri"/>
                <w:sz w:val="24"/>
                <w:szCs w:val="24"/>
              </w:rPr>
            </w:pPr>
            <w:r w:rsidRPr="3A232ED9">
              <w:rPr>
                <w:rFonts w:ascii="Calibri" w:hAnsi="Calibri" w:eastAsia="Calibri" w:cs="Calibri"/>
                <w:sz w:val="24"/>
                <w:szCs w:val="24"/>
              </w:rPr>
              <w:t>16%</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AFC27D6" w14:textId="28F4F54E">
            <w:pPr>
              <w:spacing w:after="0" w:line="240" w:lineRule="auto"/>
              <w:rPr>
                <w:rFonts w:ascii="Calibri" w:hAnsi="Calibri" w:eastAsia="Calibri" w:cs="Calibri"/>
                <w:sz w:val="24"/>
                <w:szCs w:val="24"/>
              </w:rPr>
            </w:pPr>
            <w:r w:rsidRPr="3A232ED9">
              <w:rPr>
                <w:rFonts w:ascii="Calibri" w:hAnsi="Calibri" w:eastAsia="Calibri" w:cs="Calibri"/>
                <w:sz w:val="24"/>
                <w:szCs w:val="24"/>
              </w:rPr>
              <w:t>47%</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F4D15D9" w14:textId="2AFF16BA">
            <w:pPr>
              <w:spacing w:after="0" w:line="240" w:lineRule="auto"/>
              <w:rPr>
                <w:rFonts w:ascii="Calibri" w:hAnsi="Calibri" w:eastAsia="Calibri" w:cs="Calibri"/>
                <w:sz w:val="24"/>
                <w:szCs w:val="24"/>
              </w:rPr>
            </w:pPr>
            <w:r w:rsidRPr="3A232ED9">
              <w:rPr>
                <w:rFonts w:ascii="Calibri" w:hAnsi="Calibri" w:eastAsia="Calibri" w:cs="Calibri"/>
                <w:sz w:val="24"/>
                <w:szCs w:val="24"/>
              </w:rPr>
              <w:t>37%</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D2FF950" w14:textId="5681B7DF">
            <w:pPr>
              <w:spacing w:after="0" w:line="240" w:lineRule="auto"/>
              <w:rPr>
                <w:rFonts w:ascii="Calibri" w:hAnsi="Calibri" w:eastAsia="Calibri" w:cs="Calibri"/>
                <w:sz w:val="24"/>
                <w:szCs w:val="24"/>
              </w:rPr>
            </w:pPr>
            <w:r w:rsidRPr="3A232ED9">
              <w:rPr>
                <w:rFonts w:ascii="Calibri" w:hAnsi="Calibri" w:eastAsia="Calibri" w:cs="Calibri"/>
                <w:sz w:val="24"/>
                <w:szCs w:val="24"/>
              </w:rPr>
              <w:t>148</w:t>
            </w:r>
          </w:p>
        </w:tc>
      </w:tr>
      <w:tr w:rsidR="3A232ED9" w:rsidTr="3A232ED9" w14:paraId="5E7BD526"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AE0CCCF" w14:textId="778FF69B">
            <w:pPr>
              <w:spacing w:after="0" w:line="240" w:lineRule="auto"/>
              <w:rPr>
                <w:rFonts w:ascii="Calibri" w:hAnsi="Calibri" w:eastAsia="Calibri" w:cs="Calibri"/>
                <w:sz w:val="24"/>
                <w:szCs w:val="24"/>
              </w:rPr>
            </w:pPr>
            <w:r w:rsidRPr="3A232ED9">
              <w:rPr>
                <w:rFonts w:ascii="Calibri" w:hAnsi="Calibri" w:eastAsia="Calibri" w:cs="Calibri"/>
                <w:sz w:val="24"/>
                <w:szCs w:val="24"/>
              </w:rPr>
              <w:t xml:space="preserve">HEE </w:t>
            </w:r>
            <w:proofErr w:type="gramStart"/>
            <w:r w:rsidRPr="3A232ED9">
              <w:rPr>
                <w:rFonts w:ascii="Calibri" w:hAnsi="Calibri" w:eastAsia="Calibri" w:cs="Calibri"/>
                <w:sz w:val="24"/>
                <w:szCs w:val="24"/>
              </w:rPr>
              <w:t>North East</w:t>
            </w:r>
            <w:proofErr w:type="gramEnd"/>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429BFF34" w14:textId="7E31B6CC">
            <w:pPr>
              <w:spacing w:after="0" w:line="240" w:lineRule="auto"/>
              <w:rPr>
                <w:rFonts w:ascii="Calibri" w:hAnsi="Calibri" w:eastAsia="Calibri" w:cs="Calibri"/>
                <w:sz w:val="24"/>
                <w:szCs w:val="24"/>
              </w:rPr>
            </w:pPr>
            <w:r w:rsidRPr="3A232ED9">
              <w:rPr>
                <w:rFonts w:ascii="Calibri" w:hAnsi="Calibri" w:eastAsia="Calibri" w:cs="Calibri"/>
                <w:sz w:val="24"/>
                <w:szCs w:val="24"/>
              </w:rPr>
              <w:t>8%</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F3FCBDB" w14:textId="4C07BD3C">
            <w:pPr>
              <w:spacing w:after="0" w:line="240" w:lineRule="auto"/>
              <w:rPr>
                <w:rFonts w:ascii="Calibri" w:hAnsi="Calibri" w:eastAsia="Calibri" w:cs="Calibri"/>
                <w:sz w:val="24"/>
                <w:szCs w:val="24"/>
              </w:rPr>
            </w:pPr>
            <w:r w:rsidRPr="3A232ED9">
              <w:rPr>
                <w:rFonts w:ascii="Calibri" w:hAnsi="Calibri" w:eastAsia="Calibri" w:cs="Calibri"/>
                <w:sz w:val="24"/>
                <w:szCs w:val="24"/>
              </w:rPr>
              <w:t>47%</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A640B52" w14:textId="7D29243C">
            <w:pPr>
              <w:spacing w:after="0" w:line="240" w:lineRule="auto"/>
              <w:rPr>
                <w:rFonts w:ascii="Calibri" w:hAnsi="Calibri" w:eastAsia="Calibri" w:cs="Calibri"/>
                <w:sz w:val="24"/>
                <w:szCs w:val="24"/>
              </w:rPr>
            </w:pPr>
            <w:r w:rsidRPr="3A232ED9">
              <w:rPr>
                <w:rFonts w:ascii="Calibri" w:hAnsi="Calibri" w:eastAsia="Calibri" w:cs="Calibri"/>
                <w:sz w:val="24"/>
                <w:szCs w:val="24"/>
              </w:rPr>
              <w:t>44%</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62ABA31" w14:textId="352309AE">
            <w:pPr>
              <w:spacing w:after="0" w:line="240" w:lineRule="auto"/>
              <w:rPr>
                <w:rFonts w:ascii="Calibri" w:hAnsi="Calibri" w:eastAsia="Calibri" w:cs="Calibri"/>
                <w:sz w:val="24"/>
                <w:szCs w:val="24"/>
              </w:rPr>
            </w:pPr>
            <w:r w:rsidRPr="3A232ED9">
              <w:rPr>
                <w:rFonts w:ascii="Calibri" w:hAnsi="Calibri" w:eastAsia="Calibri" w:cs="Calibri"/>
                <w:sz w:val="24"/>
                <w:szCs w:val="24"/>
              </w:rPr>
              <w:t>118</w:t>
            </w:r>
          </w:p>
        </w:tc>
      </w:tr>
      <w:tr w:rsidR="3A232ED9" w:rsidTr="3A232ED9" w14:paraId="36BE53CA"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BD37423" w14:textId="7BFEB837">
            <w:pPr>
              <w:spacing w:after="0" w:line="240" w:lineRule="auto"/>
              <w:rPr>
                <w:rFonts w:ascii="Calibri" w:hAnsi="Calibri" w:eastAsia="Calibri" w:cs="Calibri"/>
                <w:sz w:val="24"/>
                <w:szCs w:val="24"/>
              </w:rPr>
            </w:pPr>
            <w:r w:rsidRPr="3A232ED9">
              <w:rPr>
                <w:rFonts w:ascii="Calibri" w:hAnsi="Calibri" w:eastAsia="Calibri" w:cs="Calibri"/>
                <w:sz w:val="24"/>
                <w:szCs w:val="24"/>
              </w:rPr>
              <w:t xml:space="preserve">HEE </w:t>
            </w:r>
            <w:proofErr w:type="gramStart"/>
            <w:r w:rsidRPr="3A232ED9">
              <w:rPr>
                <w:rFonts w:ascii="Calibri" w:hAnsi="Calibri" w:eastAsia="Calibri" w:cs="Calibri"/>
                <w:sz w:val="24"/>
                <w:szCs w:val="24"/>
              </w:rPr>
              <w:t>North West</w:t>
            </w:r>
            <w:proofErr w:type="gramEnd"/>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4C46E32" w14:textId="6F257E54">
            <w:pPr>
              <w:spacing w:after="0" w:line="240" w:lineRule="auto"/>
              <w:rPr>
                <w:rFonts w:ascii="Calibri" w:hAnsi="Calibri" w:eastAsia="Calibri" w:cs="Calibri"/>
                <w:sz w:val="24"/>
                <w:szCs w:val="24"/>
              </w:rPr>
            </w:pPr>
            <w:r w:rsidRPr="3A232ED9">
              <w:rPr>
                <w:rFonts w:ascii="Calibri" w:hAnsi="Calibri" w:eastAsia="Calibri" w:cs="Calibri"/>
                <w:sz w:val="24"/>
                <w:szCs w:val="24"/>
              </w:rPr>
              <w:t>14%</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830CD38" w14:textId="0616D7C9">
            <w:pPr>
              <w:spacing w:after="0" w:line="240" w:lineRule="auto"/>
              <w:rPr>
                <w:rFonts w:ascii="Calibri" w:hAnsi="Calibri" w:eastAsia="Calibri" w:cs="Calibri"/>
                <w:sz w:val="24"/>
                <w:szCs w:val="24"/>
              </w:rPr>
            </w:pPr>
            <w:r w:rsidRPr="3A232ED9">
              <w:rPr>
                <w:rFonts w:ascii="Calibri" w:hAnsi="Calibri" w:eastAsia="Calibri" w:cs="Calibri"/>
                <w:sz w:val="24"/>
                <w:szCs w:val="24"/>
              </w:rPr>
              <w:t>46%</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3774430" w14:textId="0161631B">
            <w:pPr>
              <w:spacing w:after="0" w:line="240" w:lineRule="auto"/>
              <w:rPr>
                <w:rFonts w:ascii="Calibri" w:hAnsi="Calibri" w:eastAsia="Calibri" w:cs="Calibri"/>
                <w:sz w:val="24"/>
                <w:szCs w:val="24"/>
              </w:rPr>
            </w:pPr>
            <w:r w:rsidRPr="3A232ED9">
              <w:rPr>
                <w:rFonts w:ascii="Calibri" w:hAnsi="Calibri" w:eastAsia="Calibri" w:cs="Calibri"/>
                <w:sz w:val="24"/>
                <w:szCs w:val="24"/>
              </w:rPr>
              <w:t>40%</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661A223" w14:textId="1852686F">
            <w:pPr>
              <w:spacing w:after="0" w:line="240" w:lineRule="auto"/>
              <w:rPr>
                <w:rFonts w:ascii="Calibri" w:hAnsi="Calibri" w:eastAsia="Calibri" w:cs="Calibri"/>
                <w:sz w:val="24"/>
                <w:szCs w:val="24"/>
              </w:rPr>
            </w:pPr>
            <w:r w:rsidRPr="3A232ED9">
              <w:rPr>
                <w:rFonts w:ascii="Calibri" w:hAnsi="Calibri" w:eastAsia="Calibri" w:cs="Calibri"/>
                <w:sz w:val="24"/>
                <w:szCs w:val="24"/>
              </w:rPr>
              <w:t>280</w:t>
            </w:r>
          </w:p>
        </w:tc>
      </w:tr>
      <w:tr w:rsidR="3A232ED9" w:rsidTr="3A232ED9" w14:paraId="13E3A4F7"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4C00FCE" w14:textId="143DF515">
            <w:pPr>
              <w:spacing w:after="0" w:line="240" w:lineRule="auto"/>
              <w:rPr>
                <w:rFonts w:ascii="Calibri" w:hAnsi="Calibri" w:eastAsia="Calibri" w:cs="Calibri"/>
                <w:sz w:val="24"/>
                <w:szCs w:val="24"/>
              </w:rPr>
            </w:pPr>
            <w:r w:rsidRPr="3A232ED9">
              <w:rPr>
                <w:rFonts w:ascii="Calibri" w:hAnsi="Calibri" w:eastAsia="Calibri" w:cs="Calibri"/>
                <w:sz w:val="24"/>
                <w:szCs w:val="24"/>
              </w:rPr>
              <w:t xml:space="preserve">HEE </w:t>
            </w:r>
            <w:proofErr w:type="gramStart"/>
            <w:r w:rsidRPr="3A232ED9">
              <w:rPr>
                <w:rFonts w:ascii="Calibri" w:hAnsi="Calibri" w:eastAsia="Calibri" w:cs="Calibri"/>
                <w:sz w:val="24"/>
                <w:szCs w:val="24"/>
              </w:rPr>
              <w:t>North West</w:t>
            </w:r>
            <w:proofErr w:type="gramEnd"/>
            <w:r w:rsidRPr="3A232ED9">
              <w:rPr>
                <w:rFonts w:ascii="Calibri" w:hAnsi="Calibri" w:eastAsia="Calibri" w:cs="Calibri"/>
                <w:sz w:val="24"/>
                <w:szCs w:val="24"/>
              </w:rPr>
              <w:t xml:space="preserve"> London</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01EBCB4" w14:textId="4D787766">
            <w:pPr>
              <w:spacing w:after="0" w:line="240" w:lineRule="auto"/>
              <w:rPr>
                <w:rFonts w:ascii="Calibri" w:hAnsi="Calibri" w:eastAsia="Calibri" w:cs="Calibri"/>
                <w:sz w:val="24"/>
                <w:szCs w:val="24"/>
              </w:rPr>
            </w:pPr>
            <w:r w:rsidRPr="3A232ED9">
              <w:rPr>
                <w:rFonts w:ascii="Calibri" w:hAnsi="Calibri" w:eastAsia="Calibri" w:cs="Calibri"/>
                <w:sz w:val="24"/>
                <w:szCs w:val="24"/>
              </w:rPr>
              <w:t>17%</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4A072DFE" w14:textId="7E0B2A7D">
            <w:pPr>
              <w:spacing w:after="0" w:line="240" w:lineRule="auto"/>
              <w:rPr>
                <w:rFonts w:ascii="Calibri" w:hAnsi="Calibri" w:eastAsia="Calibri" w:cs="Calibri"/>
                <w:sz w:val="24"/>
                <w:szCs w:val="24"/>
              </w:rPr>
            </w:pPr>
            <w:r w:rsidRPr="3A232ED9">
              <w:rPr>
                <w:rFonts w:ascii="Calibri" w:hAnsi="Calibri" w:eastAsia="Calibri" w:cs="Calibri"/>
                <w:sz w:val="24"/>
                <w:szCs w:val="24"/>
              </w:rPr>
              <w:t>50%</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04460CB" w14:textId="4AD33F9B">
            <w:pPr>
              <w:spacing w:after="0" w:line="240" w:lineRule="auto"/>
              <w:rPr>
                <w:rFonts w:ascii="Calibri" w:hAnsi="Calibri" w:eastAsia="Calibri" w:cs="Calibri"/>
                <w:sz w:val="24"/>
                <w:szCs w:val="24"/>
              </w:rPr>
            </w:pPr>
            <w:r w:rsidRPr="3A232ED9">
              <w:rPr>
                <w:rFonts w:ascii="Calibri" w:hAnsi="Calibri" w:eastAsia="Calibri" w:cs="Calibri"/>
                <w:sz w:val="24"/>
                <w:szCs w:val="24"/>
              </w:rPr>
              <w:t>33%</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983B4BE" w14:textId="1E91EF86">
            <w:pPr>
              <w:spacing w:after="0" w:line="240" w:lineRule="auto"/>
              <w:rPr>
                <w:rFonts w:ascii="Calibri" w:hAnsi="Calibri" w:eastAsia="Calibri" w:cs="Calibri"/>
                <w:sz w:val="24"/>
                <w:szCs w:val="24"/>
              </w:rPr>
            </w:pPr>
            <w:r w:rsidRPr="3A232ED9">
              <w:rPr>
                <w:rFonts w:ascii="Calibri" w:hAnsi="Calibri" w:eastAsia="Calibri" w:cs="Calibri"/>
                <w:sz w:val="24"/>
                <w:szCs w:val="24"/>
              </w:rPr>
              <w:t>117</w:t>
            </w:r>
          </w:p>
        </w:tc>
      </w:tr>
      <w:tr w:rsidR="3A232ED9" w:rsidTr="3A232ED9" w14:paraId="1C6C5273"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300881A" w14:textId="4AF1C318">
            <w:pPr>
              <w:spacing w:after="0" w:line="240" w:lineRule="auto"/>
              <w:rPr>
                <w:rFonts w:ascii="Calibri" w:hAnsi="Calibri" w:eastAsia="Calibri" w:cs="Calibri"/>
                <w:sz w:val="24"/>
                <w:szCs w:val="24"/>
              </w:rPr>
            </w:pPr>
            <w:r w:rsidRPr="3A232ED9">
              <w:rPr>
                <w:rFonts w:ascii="Calibri" w:hAnsi="Calibri" w:eastAsia="Calibri" w:cs="Calibri"/>
                <w:sz w:val="24"/>
                <w:szCs w:val="24"/>
              </w:rPr>
              <w:t>HEE South London</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D72B8CF" w14:textId="0CE381FB">
            <w:pPr>
              <w:spacing w:after="0" w:line="240" w:lineRule="auto"/>
              <w:rPr>
                <w:rFonts w:ascii="Calibri" w:hAnsi="Calibri" w:eastAsia="Calibri" w:cs="Calibri"/>
                <w:sz w:val="24"/>
                <w:szCs w:val="24"/>
              </w:rPr>
            </w:pPr>
            <w:r w:rsidRPr="3A232ED9">
              <w:rPr>
                <w:rFonts w:ascii="Calibri" w:hAnsi="Calibri" w:eastAsia="Calibri" w:cs="Calibri"/>
                <w:sz w:val="24"/>
                <w:szCs w:val="24"/>
              </w:rPr>
              <w:t>13%</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53439D5" w14:textId="489CE70A">
            <w:pPr>
              <w:spacing w:after="0" w:line="240" w:lineRule="auto"/>
              <w:rPr>
                <w:rFonts w:ascii="Calibri" w:hAnsi="Calibri" w:eastAsia="Calibri" w:cs="Calibri"/>
                <w:sz w:val="24"/>
                <w:szCs w:val="24"/>
              </w:rPr>
            </w:pPr>
            <w:r w:rsidRPr="3A232ED9">
              <w:rPr>
                <w:rFonts w:ascii="Calibri" w:hAnsi="Calibri" w:eastAsia="Calibri" w:cs="Calibri"/>
                <w:sz w:val="24"/>
                <w:szCs w:val="24"/>
              </w:rPr>
              <w:t>43%</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E4A960D" w14:textId="5D310DEE">
            <w:pPr>
              <w:spacing w:after="0" w:line="240" w:lineRule="auto"/>
              <w:rPr>
                <w:rFonts w:ascii="Calibri" w:hAnsi="Calibri" w:eastAsia="Calibri" w:cs="Calibri"/>
                <w:sz w:val="24"/>
                <w:szCs w:val="24"/>
              </w:rPr>
            </w:pPr>
            <w:r w:rsidRPr="3A232ED9">
              <w:rPr>
                <w:rFonts w:ascii="Calibri" w:hAnsi="Calibri" w:eastAsia="Calibri" w:cs="Calibri"/>
                <w:sz w:val="24"/>
                <w:szCs w:val="24"/>
              </w:rPr>
              <w:t>44%</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6819AC0" w14:textId="4E333B2E">
            <w:pPr>
              <w:spacing w:after="0" w:line="240" w:lineRule="auto"/>
              <w:rPr>
                <w:rFonts w:ascii="Calibri" w:hAnsi="Calibri" w:eastAsia="Calibri" w:cs="Calibri"/>
                <w:sz w:val="24"/>
                <w:szCs w:val="24"/>
              </w:rPr>
            </w:pPr>
            <w:r w:rsidRPr="3A232ED9">
              <w:rPr>
                <w:rFonts w:ascii="Calibri" w:hAnsi="Calibri" w:eastAsia="Calibri" w:cs="Calibri"/>
                <w:sz w:val="24"/>
                <w:szCs w:val="24"/>
              </w:rPr>
              <w:t>119</w:t>
            </w:r>
          </w:p>
        </w:tc>
      </w:tr>
      <w:tr w:rsidR="3A232ED9" w:rsidTr="3A232ED9" w14:paraId="5BDD0BA8"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E5D2DBD" w14:textId="45678E1D">
            <w:pPr>
              <w:spacing w:after="0" w:line="240" w:lineRule="auto"/>
              <w:rPr>
                <w:rFonts w:ascii="Calibri" w:hAnsi="Calibri" w:eastAsia="Calibri" w:cs="Calibri"/>
                <w:sz w:val="24"/>
                <w:szCs w:val="24"/>
              </w:rPr>
            </w:pPr>
            <w:r w:rsidRPr="3A232ED9">
              <w:rPr>
                <w:rFonts w:ascii="Calibri" w:hAnsi="Calibri" w:eastAsia="Calibri" w:cs="Calibri"/>
                <w:sz w:val="24"/>
                <w:szCs w:val="24"/>
              </w:rPr>
              <w:t xml:space="preserve">HEE </w:t>
            </w:r>
            <w:proofErr w:type="gramStart"/>
            <w:r w:rsidRPr="3A232ED9">
              <w:rPr>
                <w:rFonts w:ascii="Calibri" w:hAnsi="Calibri" w:eastAsia="Calibri" w:cs="Calibri"/>
                <w:sz w:val="24"/>
                <w:szCs w:val="24"/>
              </w:rPr>
              <w:t>South West</w:t>
            </w:r>
            <w:proofErr w:type="gramEnd"/>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725B93E" w14:textId="1E98F847">
            <w:pPr>
              <w:spacing w:after="0" w:line="240" w:lineRule="auto"/>
              <w:rPr>
                <w:rFonts w:ascii="Calibri" w:hAnsi="Calibri" w:eastAsia="Calibri" w:cs="Calibri"/>
                <w:sz w:val="24"/>
                <w:szCs w:val="24"/>
              </w:rPr>
            </w:pPr>
            <w:r w:rsidRPr="3A232ED9">
              <w:rPr>
                <w:rFonts w:ascii="Calibri" w:hAnsi="Calibri" w:eastAsia="Calibri" w:cs="Calibri"/>
                <w:sz w:val="24"/>
                <w:szCs w:val="24"/>
              </w:rPr>
              <w:t>13%</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654FD3E" w14:textId="48B35A58">
            <w:pPr>
              <w:spacing w:after="0" w:line="240" w:lineRule="auto"/>
              <w:rPr>
                <w:rFonts w:ascii="Calibri" w:hAnsi="Calibri" w:eastAsia="Calibri" w:cs="Calibri"/>
                <w:sz w:val="24"/>
                <w:szCs w:val="24"/>
              </w:rPr>
            </w:pPr>
            <w:r w:rsidRPr="3A232ED9">
              <w:rPr>
                <w:rFonts w:ascii="Calibri" w:hAnsi="Calibri" w:eastAsia="Calibri" w:cs="Calibri"/>
                <w:sz w:val="24"/>
                <w:szCs w:val="24"/>
              </w:rPr>
              <w:t>51%</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CDBCDA4" w14:textId="79E9610B">
            <w:pPr>
              <w:spacing w:after="0" w:line="240" w:lineRule="auto"/>
              <w:rPr>
                <w:rFonts w:ascii="Calibri" w:hAnsi="Calibri" w:eastAsia="Calibri" w:cs="Calibri"/>
                <w:sz w:val="24"/>
                <w:szCs w:val="24"/>
              </w:rPr>
            </w:pPr>
            <w:r w:rsidRPr="3A232ED9">
              <w:rPr>
                <w:rFonts w:ascii="Calibri" w:hAnsi="Calibri" w:eastAsia="Calibri" w:cs="Calibri"/>
                <w:sz w:val="24"/>
                <w:szCs w:val="24"/>
              </w:rPr>
              <w:t>36%</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401EE4C" w14:textId="686DE344">
            <w:pPr>
              <w:spacing w:after="0" w:line="240" w:lineRule="auto"/>
              <w:rPr>
                <w:rFonts w:ascii="Calibri" w:hAnsi="Calibri" w:eastAsia="Calibri" w:cs="Calibri"/>
                <w:sz w:val="24"/>
                <w:szCs w:val="24"/>
              </w:rPr>
            </w:pPr>
            <w:r w:rsidRPr="3A232ED9">
              <w:rPr>
                <w:rFonts w:ascii="Calibri" w:hAnsi="Calibri" w:eastAsia="Calibri" w:cs="Calibri"/>
                <w:sz w:val="24"/>
                <w:szCs w:val="24"/>
              </w:rPr>
              <w:t>137</w:t>
            </w:r>
          </w:p>
        </w:tc>
      </w:tr>
      <w:tr w:rsidR="3A232ED9" w:rsidTr="3A232ED9" w14:paraId="62DD734B"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DDB9CCD" w14:textId="4773FC13">
            <w:pPr>
              <w:spacing w:after="0" w:line="240" w:lineRule="auto"/>
              <w:rPr>
                <w:rFonts w:ascii="Calibri" w:hAnsi="Calibri" w:eastAsia="Calibri" w:cs="Calibri"/>
                <w:sz w:val="24"/>
                <w:szCs w:val="24"/>
              </w:rPr>
            </w:pPr>
            <w:r w:rsidRPr="3A232ED9">
              <w:rPr>
                <w:rFonts w:ascii="Calibri" w:hAnsi="Calibri" w:eastAsia="Calibri" w:cs="Calibri"/>
                <w:sz w:val="24"/>
                <w:szCs w:val="24"/>
              </w:rPr>
              <w:t>HEE Thames Valley</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40FD5216" w14:textId="77196EDE">
            <w:pPr>
              <w:spacing w:after="0" w:line="240" w:lineRule="auto"/>
              <w:rPr>
                <w:rFonts w:ascii="Calibri" w:hAnsi="Calibri" w:eastAsia="Calibri" w:cs="Calibri"/>
                <w:sz w:val="24"/>
                <w:szCs w:val="24"/>
              </w:rPr>
            </w:pPr>
            <w:r w:rsidRPr="3A232ED9">
              <w:rPr>
                <w:rFonts w:ascii="Calibri" w:hAnsi="Calibri" w:eastAsia="Calibri" w:cs="Calibri"/>
                <w:sz w:val="24"/>
                <w:szCs w:val="24"/>
              </w:rPr>
              <w:t>16%</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25941C2" w14:textId="508E6A1E">
            <w:pPr>
              <w:spacing w:after="0" w:line="240" w:lineRule="auto"/>
              <w:rPr>
                <w:rFonts w:ascii="Calibri" w:hAnsi="Calibri" w:eastAsia="Calibri" w:cs="Calibri"/>
                <w:sz w:val="24"/>
                <w:szCs w:val="24"/>
              </w:rPr>
            </w:pPr>
            <w:r w:rsidRPr="3A232ED9">
              <w:rPr>
                <w:rFonts w:ascii="Calibri" w:hAnsi="Calibri" w:eastAsia="Calibri" w:cs="Calibri"/>
                <w:sz w:val="24"/>
                <w:szCs w:val="24"/>
              </w:rPr>
              <w:t>45%</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4001D857" w14:textId="3BBFE86A">
            <w:pPr>
              <w:spacing w:after="0" w:line="240" w:lineRule="auto"/>
              <w:rPr>
                <w:rFonts w:ascii="Calibri" w:hAnsi="Calibri" w:eastAsia="Calibri" w:cs="Calibri"/>
                <w:sz w:val="24"/>
                <w:szCs w:val="24"/>
              </w:rPr>
            </w:pPr>
            <w:r w:rsidRPr="3A232ED9">
              <w:rPr>
                <w:rFonts w:ascii="Calibri" w:hAnsi="Calibri" w:eastAsia="Calibri" w:cs="Calibri"/>
                <w:sz w:val="24"/>
                <w:szCs w:val="24"/>
              </w:rPr>
              <w:t>39%</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681D21B" w14:textId="592D7231">
            <w:pPr>
              <w:spacing w:after="0" w:line="240" w:lineRule="auto"/>
              <w:rPr>
                <w:rFonts w:ascii="Calibri" w:hAnsi="Calibri" w:eastAsia="Calibri" w:cs="Calibri"/>
                <w:sz w:val="24"/>
                <w:szCs w:val="24"/>
              </w:rPr>
            </w:pPr>
            <w:r w:rsidRPr="3A232ED9">
              <w:rPr>
                <w:rFonts w:ascii="Calibri" w:hAnsi="Calibri" w:eastAsia="Calibri" w:cs="Calibri"/>
                <w:sz w:val="24"/>
                <w:szCs w:val="24"/>
              </w:rPr>
              <w:t>87</w:t>
            </w:r>
          </w:p>
        </w:tc>
      </w:tr>
      <w:tr w:rsidR="3A232ED9" w:rsidTr="3A232ED9" w14:paraId="36DF8720"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CEBF42B" w14:textId="21660132">
            <w:pPr>
              <w:spacing w:after="0" w:line="240" w:lineRule="auto"/>
              <w:rPr>
                <w:rFonts w:ascii="Calibri" w:hAnsi="Calibri" w:eastAsia="Calibri" w:cs="Calibri"/>
                <w:sz w:val="24"/>
                <w:szCs w:val="24"/>
              </w:rPr>
            </w:pPr>
            <w:r w:rsidRPr="3A232ED9">
              <w:rPr>
                <w:rFonts w:ascii="Calibri" w:hAnsi="Calibri" w:eastAsia="Calibri" w:cs="Calibri"/>
                <w:sz w:val="24"/>
                <w:szCs w:val="24"/>
              </w:rPr>
              <w:t>HEE Wessex</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66F1484" w14:textId="13ED2C96">
            <w:pPr>
              <w:spacing w:after="0" w:line="240" w:lineRule="auto"/>
              <w:rPr>
                <w:rFonts w:ascii="Calibri" w:hAnsi="Calibri" w:eastAsia="Calibri" w:cs="Calibri"/>
                <w:sz w:val="24"/>
                <w:szCs w:val="24"/>
              </w:rPr>
            </w:pPr>
            <w:r w:rsidRPr="3A232ED9">
              <w:rPr>
                <w:rFonts w:ascii="Calibri" w:hAnsi="Calibri" w:eastAsia="Calibri" w:cs="Calibri"/>
                <w:sz w:val="24"/>
                <w:szCs w:val="24"/>
              </w:rPr>
              <w:t>15%</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1C628C95" w14:textId="0F403FF7">
            <w:pPr>
              <w:spacing w:after="0" w:line="240" w:lineRule="auto"/>
              <w:rPr>
                <w:rFonts w:ascii="Calibri" w:hAnsi="Calibri" w:eastAsia="Calibri" w:cs="Calibri"/>
                <w:sz w:val="24"/>
                <w:szCs w:val="24"/>
              </w:rPr>
            </w:pPr>
            <w:r w:rsidRPr="3A232ED9">
              <w:rPr>
                <w:rFonts w:ascii="Calibri" w:hAnsi="Calibri" w:eastAsia="Calibri" w:cs="Calibri"/>
                <w:sz w:val="24"/>
                <w:szCs w:val="24"/>
              </w:rPr>
              <w:t>48%</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EE9E307" w14:textId="42A728CE">
            <w:pPr>
              <w:spacing w:after="0" w:line="240" w:lineRule="auto"/>
              <w:rPr>
                <w:rFonts w:ascii="Calibri" w:hAnsi="Calibri" w:eastAsia="Calibri" w:cs="Calibri"/>
                <w:sz w:val="24"/>
                <w:szCs w:val="24"/>
              </w:rPr>
            </w:pPr>
            <w:r w:rsidRPr="3A232ED9">
              <w:rPr>
                <w:rFonts w:ascii="Calibri" w:hAnsi="Calibri" w:eastAsia="Calibri" w:cs="Calibri"/>
                <w:sz w:val="24"/>
                <w:szCs w:val="24"/>
              </w:rPr>
              <w:t>37%</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FFD96AC" w14:textId="1C037C9C">
            <w:pPr>
              <w:spacing w:after="0" w:line="240" w:lineRule="auto"/>
              <w:rPr>
                <w:rFonts w:ascii="Calibri" w:hAnsi="Calibri" w:eastAsia="Calibri" w:cs="Calibri"/>
                <w:sz w:val="24"/>
                <w:szCs w:val="24"/>
              </w:rPr>
            </w:pPr>
            <w:r w:rsidRPr="3A232ED9">
              <w:rPr>
                <w:rFonts w:ascii="Calibri" w:hAnsi="Calibri" w:eastAsia="Calibri" w:cs="Calibri"/>
                <w:sz w:val="24"/>
                <w:szCs w:val="24"/>
              </w:rPr>
              <w:t>81</w:t>
            </w:r>
          </w:p>
        </w:tc>
      </w:tr>
      <w:tr w:rsidR="3A232ED9" w:rsidTr="3A232ED9" w14:paraId="234C52EF"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9A367A1" w14:textId="651D03F4">
            <w:pPr>
              <w:spacing w:after="0" w:line="240" w:lineRule="auto"/>
              <w:rPr>
                <w:rFonts w:ascii="Calibri" w:hAnsi="Calibri" w:eastAsia="Calibri" w:cs="Calibri"/>
                <w:sz w:val="24"/>
                <w:szCs w:val="24"/>
              </w:rPr>
            </w:pPr>
            <w:r w:rsidRPr="3A232ED9">
              <w:rPr>
                <w:rFonts w:ascii="Calibri" w:hAnsi="Calibri" w:eastAsia="Calibri" w:cs="Calibri"/>
                <w:sz w:val="24"/>
                <w:szCs w:val="24"/>
              </w:rPr>
              <w:t>HEE West Midlands</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BB679C0" w14:textId="79D33339">
            <w:pPr>
              <w:spacing w:after="0" w:line="240" w:lineRule="auto"/>
              <w:rPr>
                <w:rFonts w:ascii="Calibri" w:hAnsi="Calibri" w:eastAsia="Calibri" w:cs="Calibri"/>
                <w:sz w:val="24"/>
                <w:szCs w:val="24"/>
              </w:rPr>
            </w:pPr>
            <w:r w:rsidRPr="3A232ED9">
              <w:rPr>
                <w:rFonts w:ascii="Calibri" w:hAnsi="Calibri" w:eastAsia="Calibri" w:cs="Calibri"/>
                <w:sz w:val="24"/>
                <w:szCs w:val="24"/>
              </w:rPr>
              <w:t>17%</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8A192D9" w14:textId="6FB32124">
            <w:pPr>
              <w:spacing w:after="0" w:line="240" w:lineRule="auto"/>
              <w:rPr>
                <w:rFonts w:ascii="Calibri" w:hAnsi="Calibri" w:eastAsia="Calibri" w:cs="Calibri"/>
                <w:sz w:val="24"/>
                <w:szCs w:val="24"/>
              </w:rPr>
            </w:pPr>
            <w:r w:rsidRPr="3A232ED9">
              <w:rPr>
                <w:rFonts w:ascii="Calibri" w:hAnsi="Calibri" w:eastAsia="Calibri" w:cs="Calibri"/>
                <w:sz w:val="24"/>
                <w:szCs w:val="24"/>
              </w:rPr>
              <w:t>44%</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36B809D" w14:textId="00916227">
            <w:pPr>
              <w:spacing w:after="0" w:line="240" w:lineRule="auto"/>
              <w:rPr>
                <w:rFonts w:ascii="Calibri" w:hAnsi="Calibri" w:eastAsia="Calibri" w:cs="Calibri"/>
                <w:sz w:val="24"/>
                <w:szCs w:val="24"/>
              </w:rPr>
            </w:pPr>
            <w:r w:rsidRPr="3A232ED9">
              <w:rPr>
                <w:rFonts w:ascii="Calibri" w:hAnsi="Calibri" w:eastAsia="Calibri" w:cs="Calibri"/>
                <w:sz w:val="24"/>
                <w:szCs w:val="24"/>
              </w:rPr>
              <w:t>38%</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D983D8D" w14:textId="39D61555">
            <w:pPr>
              <w:spacing w:after="0" w:line="240" w:lineRule="auto"/>
              <w:rPr>
                <w:rFonts w:ascii="Calibri" w:hAnsi="Calibri" w:eastAsia="Calibri" w:cs="Calibri"/>
                <w:sz w:val="24"/>
                <w:szCs w:val="24"/>
              </w:rPr>
            </w:pPr>
            <w:r w:rsidRPr="3A232ED9">
              <w:rPr>
                <w:rFonts w:ascii="Calibri" w:hAnsi="Calibri" w:eastAsia="Calibri" w:cs="Calibri"/>
                <w:sz w:val="24"/>
                <w:szCs w:val="24"/>
              </w:rPr>
              <w:t>169</w:t>
            </w:r>
          </w:p>
        </w:tc>
      </w:tr>
      <w:tr w:rsidR="3A232ED9" w:rsidTr="3A232ED9" w14:paraId="498DF6B8"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71ADDB9" w14:textId="24CF3058">
            <w:pPr>
              <w:spacing w:after="0" w:line="240" w:lineRule="auto"/>
              <w:rPr>
                <w:rFonts w:ascii="Calibri" w:hAnsi="Calibri" w:eastAsia="Calibri" w:cs="Calibri"/>
                <w:sz w:val="24"/>
                <w:szCs w:val="24"/>
              </w:rPr>
            </w:pPr>
            <w:r w:rsidRPr="3A232ED9">
              <w:rPr>
                <w:rFonts w:ascii="Calibri" w:hAnsi="Calibri" w:eastAsia="Calibri" w:cs="Calibri"/>
                <w:sz w:val="24"/>
                <w:szCs w:val="24"/>
              </w:rPr>
              <w:t>HEE Yorkshire &amp; Humber</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09DCAA6" w14:textId="2B45D227">
            <w:pPr>
              <w:spacing w:after="0" w:line="240" w:lineRule="auto"/>
              <w:rPr>
                <w:rFonts w:ascii="Calibri" w:hAnsi="Calibri" w:eastAsia="Calibri" w:cs="Calibri"/>
                <w:sz w:val="24"/>
                <w:szCs w:val="24"/>
              </w:rPr>
            </w:pPr>
            <w:r w:rsidRPr="3A232ED9">
              <w:rPr>
                <w:rFonts w:ascii="Calibri" w:hAnsi="Calibri" w:eastAsia="Calibri" w:cs="Calibri"/>
                <w:sz w:val="24"/>
                <w:szCs w:val="24"/>
              </w:rPr>
              <w:t>15%</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94595D3" w14:textId="51565441">
            <w:pPr>
              <w:spacing w:after="0" w:line="240" w:lineRule="auto"/>
              <w:rPr>
                <w:rFonts w:ascii="Calibri" w:hAnsi="Calibri" w:eastAsia="Calibri" w:cs="Calibri"/>
                <w:sz w:val="24"/>
                <w:szCs w:val="24"/>
              </w:rPr>
            </w:pPr>
            <w:r w:rsidRPr="3A232ED9">
              <w:rPr>
                <w:rFonts w:ascii="Calibri" w:hAnsi="Calibri" w:eastAsia="Calibri" w:cs="Calibri"/>
                <w:sz w:val="24"/>
                <w:szCs w:val="24"/>
              </w:rPr>
              <w:t>51%</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A534E3C" w14:textId="67369D15">
            <w:pPr>
              <w:spacing w:after="0" w:line="240" w:lineRule="auto"/>
              <w:rPr>
                <w:rFonts w:ascii="Calibri" w:hAnsi="Calibri" w:eastAsia="Calibri" w:cs="Calibri"/>
                <w:sz w:val="24"/>
                <w:szCs w:val="24"/>
              </w:rPr>
            </w:pPr>
            <w:r w:rsidRPr="3A232ED9">
              <w:rPr>
                <w:rFonts w:ascii="Calibri" w:hAnsi="Calibri" w:eastAsia="Calibri" w:cs="Calibri"/>
                <w:sz w:val="24"/>
                <w:szCs w:val="24"/>
              </w:rPr>
              <w:t>34%</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4B8195C4" w14:textId="58750F51">
            <w:pPr>
              <w:spacing w:after="0" w:line="240" w:lineRule="auto"/>
              <w:rPr>
                <w:rFonts w:ascii="Calibri" w:hAnsi="Calibri" w:eastAsia="Calibri" w:cs="Calibri"/>
                <w:sz w:val="24"/>
                <w:szCs w:val="24"/>
              </w:rPr>
            </w:pPr>
            <w:r w:rsidRPr="3A232ED9">
              <w:rPr>
                <w:rFonts w:ascii="Calibri" w:hAnsi="Calibri" w:eastAsia="Calibri" w:cs="Calibri"/>
                <w:sz w:val="24"/>
                <w:szCs w:val="24"/>
              </w:rPr>
              <w:t>189</w:t>
            </w:r>
          </w:p>
        </w:tc>
      </w:tr>
      <w:tr w:rsidR="3A232ED9" w:rsidTr="3A232ED9" w14:paraId="0D93A3CF"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7B7F961" w14:textId="0AA13136">
            <w:pPr>
              <w:spacing w:after="0" w:line="240" w:lineRule="auto"/>
              <w:rPr>
                <w:rFonts w:ascii="Calibri" w:hAnsi="Calibri" w:eastAsia="Calibri" w:cs="Calibri"/>
                <w:sz w:val="24"/>
                <w:szCs w:val="24"/>
              </w:rPr>
            </w:pPr>
            <w:r w:rsidRPr="3A232ED9">
              <w:rPr>
                <w:rFonts w:ascii="Calibri" w:hAnsi="Calibri" w:eastAsia="Calibri" w:cs="Calibri"/>
                <w:sz w:val="24"/>
                <w:szCs w:val="24"/>
              </w:rPr>
              <w:t>Wales</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1EDCF08" w14:textId="7CA21181">
            <w:pPr>
              <w:spacing w:after="0" w:line="240" w:lineRule="auto"/>
              <w:rPr>
                <w:rFonts w:ascii="Calibri" w:hAnsi="Calibri" w:eastAsia="Calibri" w:cs="Calibri"/>
                <w:sz w:val="24"/>
                <w:szCs w:val="24"/>
              </w:rPr>
            </w:pPr>
            <w:r w:rsidRPr="3A232ED9">
              <w:rPr>
                <w:rFonts w:ascii="Calibri" w:hAnsi="Calibri" w:eastAsia="Calibri" w:cs="Calibri"/>
                <w:sz w:val="24"/>
                <w:szCs w:val="24"/>
              </w:rPr>
              <w:t>19%</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F838E07" w14:textId="77F2FEC4">
            <w:pPr>
              <w:spacing w:after="0" w:line="240" w:lineRule="auto"/>
              <w:rPr>
                <w:rFonts w:ascii="Calibri" w:hAnsi="Calibri" w:eastAsia="Calibri" w:cs="Calibri"/>
                <w:sz w:val="24"/>
                <w:szCs w:val="24"/>
              </w:rPr>
            </w:pPr>
            <w:r w:rsidRPr="3A232ED9">
              <w:rPr>
                <w:rFonts w:ascii="Calibri" w:hAnsi="Calibri" w:eastAsia="Calibri" w:cs="Calibri"/>
                <w:sz w:val="24"/>
                <w:szCs w:val="24"/>
              </w:rPr>
              <w:t>32%</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1CDEBF5" w14:textId="35FCAEC6">
            <w:pPr>
              <w:spacing w:after="0" w:line="240" w:lineRule="auto"/>
              <w:rPr>
                <w:rFonts w:ascii="Calibri" w:hAnsi="Calibri" w:eastAsia="Calibri" w:cs="Calibri"/>
                <w:sz w:val="24"/>
                <w:szCs w:val="24"/>
              </w:rPr>
            </w:pPr>
            <w:r w:rsidRPr="3A232ED9">
              <w:rPr>
                <w:rFonts w:ascii="Calibri" w:hAnsi="Calibri" w:eastAsia="Calibri" w:cs="Calibri"/>
                <w:sz w:val="24"/>
                <w:szCs w:val="24"/>
              </w:rPr>
              <w:t>49%</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57D1A1F7" w14:textId="47A3BEF8">
            <w:pPr>
              <w:spacing w:after="0" w:line="240" w:lineRule="auto"/>
              <w:rPr>
                <w:rFonts w:ascii="Calibri" w:hAnsi="Calibri" w:eastAsia="Calibri" w:cs="Calibri"/>
                <w:sz w:val="24"/>
                <w:szCs w:val="24"/>
              </w:rPr>
            </w:pPr>
            <w:r w:rsidRPr="3A232ED9">
              <w:rPr>
                <w:rFonts w:ascii="Calibri" w:hAnsi="Calibri" w:eastAsia="Calibri" w:cs="Calibri"/>
                <w:sz w:val="24"/>
                <w:szCs w:val="24"/>
              </w:rPr>
              <w:t>69</w:t>
            </w:r>
          </w:p>
        </w:tc>
      </w:tr>
      <w:tr w:rsidR="3A232ED9" w:rsidTr="3A232ED9" w14:paraId="2C3D86D0"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B39307C" w14:textId="7FE911F0">
            <w:pPr>
              <w:spacing w:after="0" w:line="240" w:lineRule="auto"/>
              <w:rPr>
                <w:rFonts w:ascii="Calibri" w:hAnsi="Calibri" w:eastAsia="Calibri" w:cs="Calibri"/>
                <w:sz w:val="24"/>
                <w:szCs w:val="24"/>
              </w:rPr>
            </w:pPr>
            <w:r w:rsidRPr="3A232ED9">
              <w:rPr>
                <w:rFonts w:ascii="Calibri" w:hAnsi="Calibri" w:eastAsia="Calibri" w:cs="Calibri"/>
                <w:sz w:val="24"/>
                <w:szCs w:val="24"/>
              </w:rPr>
              <w:t>Scotland</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6A226A5" w14:textId="122C693C">
            <w:pPr>
              <w:spacing w:after="0" w:line="240" w:lineRule="auto"/>
              <w:rPr>
                <w:rFonts w:ascii="Calibri" w:hAnsi="Calibri" w:eastAsia="Calibri" w:cs="Calibri"/>
                <w:sz w:val="24"/>
                <w:szCs w:val="24"/>
              </w:rPr>
            </w:pPr>
            <w:r w:rsidRPr="3A232ED9">
              <w:rPr>
                <w:rFonts w:ascii="Calibri" w:hAnsi="Calibri" w:eastAsia="Calibri" w:cs="Calibri"/>
                <w:sz w:val="24"/>
                <w:szCs w:val="24"/>
              </w:rPr>
              <w:t>11%</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4C6D566" w14:textId="75B635A1">
            <w:pPr>
              <w:spacing w:after="0" w:line="240" w:lineRule="auto"/>
              <w:rPr>
                <w:rFonts w:ascii="Calibri" w:hAnsi="Calibri" w:eastAsia="Calibri" w:cs="Calibri"/>
                <w:sz w:val="24"/>
                <w:szCs w:val="24"/>
              </w:rPr>
            </w:pPr>
            <w:r w:rsidRPr="3A232ED9">
              <w:rPr>
                <w:rFonts w:ascii="Calibri" w:hAnsi="Calibri" w:eastAsia="Calibri" w:cs="Calibri"/>
                <w:sz w:val="24"/>
                <w:szCs w:val="24"/>
              </w:rPr>
              <w:t>46%</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3CFAE69C" w14:textId="191117FA">
            <w:pPr>
              <w:spacing w:after="0" w:line="240" w:lineRule="auto"/>
              <w:rPr>
                <w:rFonts w:ascii="Calibri" w:hAnsi="Calibri" w:eastAsia="Calibri" w:cs="Calibri"/>
                <w:sz w:val="24"/>
                <w:szCs w:val="24"/>
              </w:rPr>
            </w:pPr>
            <w:r w:rsidRPr="3A232ED9">
              <w:rPr>
                <w:rFonts w:ascii="Calibri" w:hAnsi="Calibri" w:eastAsia="Calibri" w:cs="Calibri"/>
                <w:sz w:val="24"/>
                <w:szCs w:val="24"/>
              </w:rPr>
              <w:t>43%</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726F702" w14:textId="6C0FFD76">
            <w:pPr>
              <w:spacing w:after="0" w:line="240" w:lineRule="auto"/>
              <w:rPr>
                <w:rFonts w:ascii="Calibri" w:hAnsi="Calibri" w:eastAsia="Calibri" w:cs="Calibri"/>
                <w:sz w:val="24"/>
                <w:szCs w:val="24"/>
              </w:rPr>
            </w:pPr>
            <w:r w:rsidRPr="3A232ED9">
              <w:rPr>
                <w:rFonts w:ascii="Calibri" w:hAnsi="Calibri" w:eastAsia="Calibri" w:cs="Calibri"/>
                <w:sz w:val="24"/>
                <w:szCs w:val="24"/>
              </w:rPr>
              <w:t>171</w:t>
            </w:r>
          </w:p>
        </w:tc>
      </w:tr>
      <w:tr w:rsidR="3A232ED9" w:rsidTr="3A232ED9" w14:paraId="5306B6E5"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440BC82" w14:textId="78C3492D">
            <w:pPr>
              <w:spacing w:after="0" w:line="240" w:lineRule="auto"/>
              <w:rPr>
                <w:rFonts w:ascii="Calibri" w:hAnsi="Calibri" w:eastAsia="Calibri" w:cs="Calibri"/>
                <w:sz w:val="24"/>
                <w:szCs w:val="24"/>
              </w:rPr>
            </w:pPr>
            <w:r w:rsidRPr="3A232ED9">
              <w:rPr>
                <w:rFonts w:ascii="Calibri" w:hAnsi="Calibri" w:eastAsia="Calibri" w:cs="Calibri"/>
                <w:sz w:val="24"/>
                <w:szCs w:val="24"/>
              </w:rPr>
              <w:t>Northern Ireland</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DF42934" w14:textId="38903288">
            <w:pPr>
              <w:spacing w:after="0" w:line="240" w:lineRule="auto"/>
              <w:rPr>
                <w:rFonts w:ascii="Calibri" w:hAnsi="Calibri" w:eastAsia="Calibri" w:cs="Calibri"/>
                <w:sz w:val="24"/>
                <w:szCs w:val="24"/>
              </w:rPr>
            </w:pPr>
            <w:r w:rsidRPr="3A232ED9">
              <w:rPr>
                <w:rFonts w:ascii="Calibri" w:hAnsi="Calibri" w:eastAsia="Calibri" w:cs="Calibri"/>
                <w:sz w:val="24"/>
                <w:szCs w:val="24"/>
              </w:rPr>
              <w:t>15%</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AE08635" w14:textId="27069A7F">
            <w:pPr>
              <w:spacing w:after="0" w:line="240" w:lineRule="auto"/>
              <w:rPr>
                <w:rFonts w:ascii="Calibri" w:hAnsi="Calibri" w:eastAsia="Calibri" w:cs="Calibri"/>
                <w:sz w:val="24"/>
                <w:szCs w:val="24"/>
              </w:rPr>
            </w:pPr>
            <w:r w:rsidRPr="3A232ED9">
              <w:rPr>
                <w:rFonts w:ascii="Calibri" w:hAnsi="Calibri" w:eastAsia="Calibri" w:cs="Calibri"/>
                <w:sz w:val="24"/>
                <w:szCs w:val="24"/>
              </w:rPr>
              <w:t>45%</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7DEC87DD" w14:textId="0A852444">
            <w:pPr>
              <w:spacing w:after="0" w:line="240" w:lineRule="auto"/>
              <w:rPr>
                <w:rFonts w:ascii="Calibri" w:hAnsi="Calibri" w:eastAsia="Calibri" w:cs="Calibri"/>
                <w:sz w:val="24"/>
                <w:szCs w:val="24"/>
              </w:rPr>
            </w:pPr>
            <w:r w:rsidRPr="3A232ED9">
              <w:rPr>
                <w:rFonts w:ascii="Calibri" w:hAnsi="Calibri" w:eastAsia="Calibri" w:cs="Calibri"/>
                <w:sz w:val="24"/>
                <w:szCs w:val="24"/>
              </w:rPr>
              <w:t>40%</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4880AEBF" w14:textId="7B39BC0F">
            <w:pPr>
              <w:spacing w:after="0" w:line="240" w:lineRule="auto"/>
              <w:rPr>
                <w:rFonts w:ascii="Calibri" w:hAnsi="Calibri" w:eastAsia="Calibri" w:cs="Calibri"/>
                <w:sz w:val="24"/>
                <w:szCs w:val="24"/>
              </w:rPr>
            </w:pPr>
            <w:r w:rsidRPr="3A232ED9">
              <w:rPr>
                <w:rFonts w:ascii="Calibri" w:hAnsi="Calibri" w:eastAsia="Calibri" w:cs="Calibri"/>
                <w:sz w:val="24"/>
                <w:szCs w:val="24"/>
              </w:rPr>
              <w:t>65</w:t>
            </w:r>
          </w:p>
        </w:tc>
      </w:tr>
      <w:tr w:rsidR="3A232ED9" w:rsidTr="3A232ED9" w14:paraId="03C744FA" w14:textId="77777777">
        <w:trPr>
          <w:trHeight w:val="300"/>
        </w:trPr>
        <w:tc>
          <w:tcPr>
            <w:tcW w:w="3960"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694C54A9" w14:textId="2A5FA0FA">
            <w:pPr>
              <w:spacing w:after="0" w:line="240" w:lineRule="auto"/>
              <w:rPr>
                <w:rFonts w:ascii="Calibri" w:hAnsi="Calibri" w:eastAsia="Calibri" w:cs="Calibri"/>
                <w:sz w:val="24"/>
                <w:szCs w:val="24"/>
              </w:rPr>
            </w:pPr>
            <w:r w:rsidRPr="3A232ED9">
              <w:rPr>
                <w:rFonts w:ascii="Calibri" w:hAnsi="Calibri" w:eastAsia="Calibri" w:cs="Calibri"/>
                <w:b/>
                <w:bCs/>
                <w:sz w:val="24"/>
                <w:szCs w:val="24"/>
              </w:rPr>
              <w:t>Total</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1BFF00D" w14:textId="6C9D28E2">
            <w:pPr>
              <w:spacing w:after="0" w:line="240" w:lineRule="auto"/>
              <w:rPr>
                <w:rFonts w:ascii="Calibri" w:hAnsi="Calibri" w:eastAsia="Calibri" w:cs="Calibri"/>
                <w:sz w:val="24"/>
                <w:szCs w:val="24"/>
              </w:rPr>
            </w:pPr>
            <w:r w:rsidRPr="3A232ED9">
              <w:rPr>
                <w:rFonts w:ascii="Calibri" w:hAnsi="Calibri" w:eastAsia="Calibri" w:cs="Calibri"/>
                <w:b/>
                <w:bCs/>
                <w:sz w:val="24"/>
                <w:szCs w:val="24"/>
              </w:rPr>
              <w:t>15%</w:t>
            </w:r>
          </w:p>
        </w:tc>
        <w:tc>
          <w:tcPr>
            <w:tcW w:w="121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65E1144" w14:textId="0C2727D0">
            <w:pPr>
              <w:spacing w:after="0" w:line="240" w:lineRule="auto"/>
              <w:rPr>
                <w:rFonts w:ascii="Calibri" w:hAnsi="Calibri" w:eastAsia="Calibri" w:cs="Calibri"/>
                <w:sz w:val="24"/>
                <w:szCs w:val="24"/>
              </w:rPr>
            </w:pPr>
            <w:r w:rsidRPr="3A232ED9">
              <w:rPr>
                <w:rFonts w:ascii="Calibri" w:hAnsi="Calibri" w:eastAsia="Calibri" w:cs="Calibri"/>
                <w:b/>
                <w:bCs/>
                <w:sz w:val="24"/>
                <w:szCs w:val="24"/>
              </w:rPr>
              <w:t>47%</w:t>
            </w:r>
          </w:p>
        </w:tc>
        <w:tc>
          <w:tcPr>
            <w:tcW w:w="112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2F180636" w14:textId="74EFA250">
            <w:pPr>
              <w:spacing w:after="0" w:line="240" w:lineRule="auto"/>
              <w:rPr>
                <w:rFonts w:ascii="Calibri" w:hAnsi="Calibri" w:eastAsia="Calibri" w:cs="Calibri"/>
                <w:sz w:val="24"/>
                <w:szCs w:val="24"/>
              </w:rPr>
            </w:pPr>
            <w:r w:rsidRPr="3A232ED9">
              <w:rPr>
                <w:rFonts w:ascii="Calibri" w:hAnsi="Calibri" w:eastAsia="Calibri" w:cs="Calibri"/>
                <w:b/>
                <w:bCs/>
                <w:sz w:val="24"/>
                <w:szCs w:val="24"/>
              </w:rPr>
              <w:t>39%</w:t>
            </w:r>
          </w:p>
        </w:tc>
        <w:tc>
          <w:tcPr>
            <w:tcW w:w="1275" w:type="dxa"/>
            <w:tc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tcBorders>
            <w:tcMar>
              <w:left w:w="105" w:type="dxa"/>
              <w:right w:w="105" w:type="dxa"/>
            </w:tcMar>
          </w:tcPr>
          <w:p w:rsidR="3A232ED9" w:rsidP="3A232ED9" w:rsidRDefault="3A232ED9" w14:paraId="020AF52A" w14:textId="17A3305E">
            <w:pPr>
              <w:spacing w:after="0" w:line="240" w:lineRule="auto"/>
              <w:rPr>
                <w:rFonts w:ascii="Calibri" w:hAnsi="Calibri" w:eastAsia="Calibri" w:cs="Calibri"/>
                <w:sz w:val="24"/>
                <w:szCs w:val="24"/>
              </w:rPr>
            </w:pPr>
            <w:r w:rsidRPr="3A232ED9">
              <w:rPr>
                <w:rFonts w:ascii="Calibri" w:hAnsi="Calibri" w:eastAsia="Calibri" w:cs="Calibri"/>
                <w:b/>
                <w:bCs/>
                <w:sz w:val="24"/>
                <w:szCs w:val="24"/>
              </w:rPr>
              <w:t>2207</w:t>
            </w:r>
          </w:p>
        </w:tc>
      </w:tr>
    </w:tbl>
    <w:p w:rsidR="4C9258E6" w:rsidP="3A232ED9" w:rsidRDefault="7C54500E" w14:paraId="26B091B6" w14:textId="6832DD15">
      <w:pPr>
        <w:spacing w:line="257" w:lineRule="auto"/>
        <w:rPr>
          <w:rFonts w:ascii="Calibri" w:hAnsi="Calibri" w:eastAsia="Calibri" w:cs="Calibri"/>
          <w:i/>
          <w:iCs/>
          <w:color w:val="000000" w:themeColor="text1"/>
          <w:sz w:val="24"/>
          <w:szCs w:val="24"/>
        </w:rPr>
      </w:pPr>
      <w:r w:rsidRPr="3A232ED9">
        <w:rPr>
          <w:rFonts w:ascii="Calibri" w:hAnsi="Calibri" w:eastAsia="Calibri" w:cs="Calibri"/>
          <w:i/>
          <w:iCs/>
          <w:color w:val="000000" w:themeColor="text1"/>
          <w:sz w:val="24"/>
          <w:szCs w:val="24"/>
        </w:rPr>
        <w:t xml:space="preserve">Figure 15 – Table to demonstrate burnout levels across Deaneries </w:t>
      </w:r>
    </w:p>
    <w:p w:rsidR="00E874EE" w:rsidP="3A232ED9" w:rsidRDefault="00E874EE" w14:paraId="63438714" w14:textId="77777777">
      <w:pPr>
        <w:pStyle w:val="Heading3"/>
        <w:spacing w:line="276" w:lineRule="auto"/>
        <w:rPr>
          <w:rFonts w:ascii="Calibri" w:hAnsi="Calibri" w:eastAsia="Calibri" w:cs="Calibri"/>
          <w:color w:val="002060"/>
          <w:sz w:val="24"/>
          <w:szCs w:val="24"/>
        </w:rPr>
      </w:pPr>
    </w:p>
    <w:p w:rsidR="4C9258E6" w:rsidP="3A232ED9" w:rsidRDefault="7C54500E" w14:paraId="387C5054" w14:textId="42E4EC21">
      <w:pPr>
        <w:pStyle w:val="Heading3"/>
        <w:spacing w:line="276" w:lineRule="auto"/>
        <w:rPr>
          <w:rFonts w:ascii="Calibri" w:hAnsi="Calibri" w:eastAsia="Calibri" w:cs="Calibri"/>
          <w:color w:val="002060"/>
          <w:sz w:val="24"/>
          <w:szCs w:val="24"/>
        </w:rPr>
      </w:pPr>
      <w:bookmarkStart w:name="_Toc1974242195" w:id="2002600666"/>
      <w:r w:rsidRPr="2FF77C75" w:rsidR="7C54500E">
        <w:rPr>
          <w:rFonts w:ascii="Calibri" w:hAnsi="Calibri" w:eastAsia="Calibri" w:cs="Calibri"/>
          <w:color w:val="002060"/>
          <w:sz w:val="24"/>
          <w:szCs w:val="24"/>
        </w:rPr>
        <w:t>Burnout category by training year</w:t>
      </w:r>
      <w:bookmarkEnd w:id="2002600666"/>
      <w:r w:rsidRPr="2FF77C75" w:rsidR="7C54500E">
        <w:rPr>
          <w:rFonts w:ascii="Calibri" w:hAnsi="Calibri" w:eastAsia="Calibri" w:cs="Calibri"/>
          <w:color w:val="002060"/>
          <w:sz w:val="24"/>
          <w:szCs w:val="24"/>
        </w:rPr>
        <w:t xml:space="preserve"> </w:t>
      </w:r>
    </w:p>
    <w:p w:rsidR="4C9258E6" w:rsidP="3A232ED9" w:rsidRDefault="7C54500E" w14:paraId="7667E662" w14:textId="7E1E4CDB">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High burnout was documented in the early–mid training years, 15.7% at ST1, peaking at 20.3% at ST3. It declined at senior levels to 10.4% at ST6 and 11.3% at ST7, where low burnout predominated (46.2% at ST6; 49.5% at ST7). Data from the post-CCT group were excluded from analysis due to small sample size and to protect participant anonymity. </w:t>
      </w:r>
    </w:p>
    <w:p w:rsidR="4C9258E6" w:rsidP="3A232ED9" w:rsidRDefault="4C9258E6" w14:paraId="3F98769A" w14:textId="52E49C47">
      <w:pPr>
        <w:spacing w:line="276" w:lineRule="auto"/>
        <w:rPr>
          <w:rFonts w:ascii="Calibri" w:hAnsi="Calibri" w:eastAsia="Calibri" w:cs="Calibri"/>
          <w:color w:val="000000" w:themeColor="text1"/>
          <w:sz w:val="24"/>
          <w:szCs w:val="24"/>
        </w:rPr>
      </w:pPr>
    </w:p>
    <w:p w:rsidR="4C9258E6" w:rsidP="3A232ED9" w:rsidRDefault="7C54500E" w14:paraId="33D2AE46" w14:textId="755B63EE">
      <w:pPr>
        <w:spacing w:line="276" w:lineRule="auto"/>
        <w:rPr>
          <w:rFonts w:ascii="Aptos" w:hAnsi="Aptos" w:eastAsia="Aptos" w:cs="Aptos"/>
          <w:i/>
          <w:iCs/>
          <w:color w:val="000000" w:themeColor="text1"/>
          <w:sz w:val="24"/>
          <w:szCs w:val="24"/>
        </w:rPr>
      </w:pPr>
      <w:r w:rsidRPr="3A232ED9">
        <w:rPr>
          <w:rFonts w:ascii="Calibri" w:hAnsi="Calibri" w:eastAsia="Calibri" w:cs="Calibri"/>
          <w:i/>
          <w:iCs/>
          <w:color w:val="000000" w:themeColor="text1"/>
          <w:sz w:val="24"/>
          <w:szCs w:val="24"/>
        </w:rPr>
        <w:t>Figure</w:t>
      </w:r>
      <w:r w:rsidRPr="3A232ED9">
        <w:rPr>
          <w:rFonts w:ascii="Aptos" w:hAnsi="Aptos" w:eastAsia="Aptos" w:cs="Aptos"/>
          <w:i/>
          <w:iCs/>
          <w:color w:val="000000" w:themeColor="text1"/>
          <w:sz w:val="24"/>
          <w:szCs w:val="24"/>
        </w:rPr>
        <w:t xml:space="preserve"> 16 – Burnout categories divided by speciality training year</w:t>
      </w:r>
    </w:p>
    <w:p w:rsidR="008B0775" w:rsidP="3A232ED9" w:rsidRDefault="002E3BAD" w14:paraId="69253A4C" w14:textId="0CF991D6">
      <w:pPr>
        <w:spacing w:line="276" w:lineRule="auto"/>
        <w:rPr>
          <w:rFonts w:ascii="Aptos" w:hAnsi="Aptos" w:eastAsia="Aptos" w:cs="Aptos"/>
          <w:color w:val="000000" w:themeColor="text1"/>
          <w:sz w:val="24"/>
          <w:szCs w:val="24"/>
        </w:rPr>
      </w:pPr>
      <w:r>
        <w:rPr>
          <w:noProof/>
        </w:rPr>
        <w:drawing>
          <wp:inline distT="0" distB="0" distL="0" distR="0" wp14:anchorId="5D5C6734" wp14:editId="05AC59D8">
            <wp:extent cx="5731510" cy="3160395"/>
            <wp:effectExtent l="0" t="0" r="2540" b="1905"/>
            <wp:docPr id="1800540798" name="Picture 1" descr="A graph of different colored b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13605" name="Picture 1" descr="A graph of different colored bars"/>
                    <pic:cNvPicPr>
                      <a:picLocks noChangeAspect="1"/>
                    </pic:cNvPicPr>
                  </pic:nvPicPr>
                  <pic:blipFill>
                    <a:blip r:embed="rId25"/>
                    <a:stretch>
                      <a:fillRect/>
                    </a:stretch>
                  </pic:blipFill>
                  <pic:spPr>
                    <a:xfrm>
                      <a:off x="0" y="0"/>
                      <a:ext cx="5731510" cy="3160395"/>
                    </a:xfrm>
                    <a:prstGeom prst="rect">
                      <a:avLst/>
                    </a:prstGeom>
                  </pic:spPr>
                </pic:pic>
              </a:graphicData>
            </a:graphic>
          </wp:inline>
        </w:drawing>
      </w:r>
    </w:p>
    <w:p w:rsidR="00E874EE" w:rsidP="3A232ED9" w:rsidRDefault="00E874EE" w14:paraId="44C7FC91" w14:textId="77777777">
      <w:pPr>
        <w:pStyle w:val="Heading2"/>
        <w:spacing w:line="276" w:lineRule="auto"/>
        <w:rPr>
          <w:rFonts w:ascii="Calibri" w:hAnsi="Calibri" w:eastAsia="Calibri" w:cs="Calibri"/>
          <w:b/>
          <w:bCs/>
          <w:color w:val="002060"/>
          <w:sz w:val="24"/>
          <w:szCs w:val="24"/>
        </w:rPr>
      </w:pPr>
    </w:p>
    <w:p w:rsidR="4C9258E6" w:rsidP="3A232ED9" w:rsidRDefault="7C54500E" w14:paraId="44CA322A" w14:textId="6E1C0A67">
      <w:pPr>
        <w:pStyle w:val="Heading2"/>
        <w:spacing w:line="276" w:lineRule="auto"/>
        <w:rPr>
          <w:rFonts w:ascii="Calibri" w:hAnsi="Calibri" w:eastAsia="Calibri" w:cs="Calibri"/>
          <w:color w:val="002060"/>
          <w:sz w:val="24"/>
          <w:szCs w:val="24"/>
        </w:rPr>
      </w:pPr>
      <w:bookmarkStart w:name="_Toc1194527883" w:id="1067671840"/>
      <w:r w:rsidRPr="2FF77C75" w:rsidR="7C54500E">
        <w:rPr>
          <w:rFonts w:ascii="Calibri" w:hAnsi="Calibri" w:eastAsia="Calibri" w:cs="Calibri"/>
          <w:b w:val="1"/>
          <w:bCs w:val="1"/>
          <w:color w:val="002060"/>
          <w:sz w:val="24"/>
          <w:szCs w:val="24"/>
        </w:rPr>
        <w:t>Burnout and associated work-related factors</w:t>
      </w:r>
      <w:bookmarkEnd w:id="1067671840"/>
    </w:p>
    <w:p w:rsidR="4C9258E6" w:rsidP="3A232ED9" w:rsidRDefault="7C54500E" w14:paraId="03556355" w14:textId="6C619442">
      <w:pPr>
        <w:pStyle w:val="Heading3"/>
        <w:spacing w:line="276" w:lineRule="auto"/>
        <w:rPr>
          <w:rFonts w:ascii="Calibri" w:hAnsi="Calibri" w:eastAsia="Calibri" w:cs="Calibri"/>
          <w:color w:val="002060"/>
          <w:sz w:val="24"/>
          <w:szCs w:val="24"/>
        </w:rPr>
      </w:pPr>
      <w:bookmarkStart w:name="_Toc482548425" w:id="19361093"/>
      <w:r w:rsidRPr="2FF77C75" w:rsidR="7C54500E">
        <w:rPr>
          <w:rFonts w:ascii="Calibri" w:hAnsi="Calibri" w:eastAsia="Calibri" w:cs="Calibri"/>
          <w:color w:val="002060"/>
          <w:sz w:val="24"/>
          <w:szCs w:val="24"/>
        </w:rPr>
        <w:t>Sickness Absence</w:t>
      </w:r>
      <w:bookmarkEnd w:id="19361093"/>
    </w:p>
    <w:p w:rsidR="4C9258E6" w:rsidP="3A232ED9" w:rsidRDefault="7C54500E" w14:paraId="77AA4341" w14:textId="1116E9F0">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The likelihood of sickness absence was also significantly correlated to burnout. (Cramer V = 0.13). In the high burnout group 20% of trainees had taken time off work, compared to 6% in the low burn out group and 12% in the moderate group.</w:t>
      </w:r>
    </w:p>
    <w:p w:rsidR="00E07C4A" w:rsidP="3A232ED9" w:rsidRDefault="00E07C4A" w14:paraId="674CCFBD" w14:textId="77777777">
      <w:pPr>
        <w:spacing w:line="276" w:lineRule="auto"/>
        <w:jc w:val="both"/>
        <w:rPr>
          <w:rFonts w:ascii="Calibri" w:hAnsi="Calibri" w:eastAsia="Calibri" w:cs="Calibri"/>
          <w:color w:val="000000" w:themeColor="text1"/>
          <w:sz w:val="24"/>
          <w:szCs w:val="24"/>
        </w:rPr>
      </w:pPr>
    </w:p>
    <w:p w:rsidR="00E07C4A" w:rsidP="3A232ED9" w:rsidRDefault="00E07C4A" w14:paraId="59C3C062" w14:textId="77777777">
      <w:pPr>
        <w:spacing w:line="276" w:lineRule="auto"/>
        <w:jc w:val="both"/>
        <w:rPr>
          <w:rFonts w:ascii="Calibri" w:hAnsi="Calibri" w:eastAsia="Calibri" w:cs="Calibri"/>
          <w:color w:val="000000" w:themeColor="text1"/>
          <w:sz w:val="24"/>
          <w:szCs w:val="24"/>
        </w:rPr>
      </w:pPr>
    </w:p>
    <w:p w:rsidR="00E07C4A" w:rsidP="3A232ED9" w:rsidRDefault="00E07C4A" w14:paraId="4A6D5FA5" w14:textId="77777777">
      <w:pPr>
        <w:spacing w:line="276" w:lineRule="auto"/>
        <w:jc w:val="both"/>
        <w:rPr>
          <w:rFonts w:ascii="Calibri" w:hAnsi="Calibri" w:eastAsia="Calibri" w:cs="Calibri"/>
          <w:color w:val="000000" w:themeColor="text1"/>
          <w:sz w:val="24"/>
          <w:szCs w:val="24"/>
        </w:rPr>
      </w:pPr>
    </w:p>
    <w:p w:rsidR="00E07C4A" w:rsidP="3A232ED9" w:rsidRDefault="00E07C4A" w14:paraId="1B4CAC57" w14:textId="77777777">
      <w:pPr>
        <w:spacing w:line="276" w:lineRule="auto"/>
        <w:jc w:val="both"/>
        <w:rPr>
          <w:rFonts w:ascii="Calibri" w:hAnsi="Calibri" w:eastAsia="Calibri" w:cs="Calibri"/>
          <w:color w:val="000000" w:themeColor="text1"/>
          <w:sz w:val="24"/>
          <w:szCs w:val="24"/>
        </w:rPr>
      </w:pPr>
    </w:p>
    <w:p w:rsidR="00E07C4A" w:rsidP="3A232ED9" w:rsidRDefault="00E07C4A" w14:paraId="257B3739" w14:textId="77777777">
      <w:pPr>
        <w:spacing w:line="276" w:lineRule="auto"/>
        <w:jc w:val="both"/>
        <w:rPr>
          <w:rFonts w:ascii="Calibri" w:hAnsi="Calibri" w:eastAsia="Calibri" w:cs="Calibri"/>
          <w:color w:val="000000" w:themeColor="text1"/>
          <w:sz w:val="24"/>
          <w:szCs w:val="24"/>
        </w:rPr>
      </w:pPr>
    </w:p>
    <w:p w:rsidR="00E07C4A" w:rsidP="3A232ED9" w:rsidRDefault="00E07C4A" w14:paraId="0A18D211" w14:textId="77777777">
      <w:pPr>
        <w:spacing w:line="276" w:lineRule="auto"/>
        <w:jc w:val="both"/>
        <w:rPr>
          <w:rFonts w:ascii="Calibri" w:hAnsi="Calibri" w:eastAsia="Calibri" w:cs="Calibri"/>
          <w:color w:val="000000" w:themeColor="text1"/>
          <w:sz w:val="24"/>
          <w:szCs w:val="24"/>
        </w:rPr>
      </w:pPr>
    </w:p>
    <w:p w:rsidR="00E07C4A" w:rsidP="3A232ED9" w:rsidRDefault="00E07C4A" w14:paraId="1FAAEA31" w14:textId="77777777">
      <w:pPr>
        <w:spacing w:line="276" w:lineRule="auto"/>
        <w:jc w:val="both"/>
        <w:rPr>
          <w:rFonts w:ascii="Calibri" w:hAnsi="Calibri" w:eastAsia="Calibri" w:cs="Calibri"/>
          <w:color w:val="000000" w:themeColor="text1"/>
          <w:sz w:val="24"/>
          <w:szCs w:val="24"/>
        </w:rPr>
      </w:pPr>
    </w:p>
    <w:p w:rsidR="4C9258E6" w:rsidP="17736A2F" w:rsidRDefault="00E07C4A" w14:paraId="6A64EC8E" w14:textId="6ABB98DB">
      <w:pPr>
        <w:spacing w:line="276" w:lineRule="auto"/>
        <w:rPr>
          <w:rFonts w:ascii="Calibri" w:hAnsi="Calibri" w:eastAsia="Calibri" w:cs="Calibri"/>
          <w:i w:val="1"/>
          <w:iCs w:val="1"/>
          <w:color w:val="000000" w:themeColor="text1"/>
          <w:sz w:val="24"/>
          <w:szCs w:val="24"/>
        </w:rPr>
      </w:pPr>
      <w:r w:rsidRPr="00F35686">
        <w:rPr>
          <w:rFonts w:ascii="Calibri" w:hAnsi="Calibri" w:cs="Calibri"/>
          <w:noProof/>
          <w:lang w:eastAsia="en-GB"/>
        </w:rPr>
        <w:drawing>
          <wp:inline distT="0" distB="0" distL="0" distR="0" wp14:anchorId="4BE7AD6B" wp14:editId="317AAD06">
            <wp:extent cx="5731510" cy="2614295"/>
            <wp:effectExtent l="0" t="0" r="2540" b="14605"/>
            <wp:docPr id="116865975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17736A2F" w:rsidR="11F5570D">
        <w:rPr>
          <w:rFonts w:ascii="Calibri" w:hAnsi="Calibri" w:eastAsia="Calibri" w:cs="Calibri"/>
          <w:i w:val="1"/>
          <w:iCs w:val="1"/>
          <w:color w:val="000000" w:themeColor="text1" w:themeTint="FF" w:themeShade="FF"/>
          <w:sz w:val="24"/>
          <w:szCs w:val="24"/>
        </w:rPr>
        <w:t xml:space="preserve">Figure 17 – Time off in last 6 months </w:t>
      </w:r>
    </w:p>
    <w:p w:rsidR="00CD25DE" w:rsidP="3A232ED9" w:rsidRDefault="00CD25DE" w14:paraId="4B2C8F05" w14:textId="319406EC">
      <w:pPr>
        <w:spacing w:line="276" w:lineRule="auto"/>
        <w:rPr>
          <w:rFonts w:ascii="Calibri" w:hAnsi="Calibri" w:eastAsia="Calibri" w:cs="Calibri"/>
          <w:color w:val="000000" w:themeColor="text1"/>
          <w:sz w:val="24"/>
          <w:szCs w:val="24"/>
        </w:rPr>
      </w:pPr>
    </w:p>
    <w:p w:rsidR="4C9258E6" w:rsidP="3A232ED9" w:rsidRDefault="7C54500E" w14:paraId="310FA599" w14:textId="3EA6CC89">
      <w:pPr>
        <w:pStyle w:val="Heading3"/>
        <w:spacing w:line="276" w:lineRule="auto"/>
        <w:rPr>
          <w:rFonts w:ascii="Calibri" w:hAnsi="Calibri" w:eastAsia="Calibri" w:cs="Calibri"/>
          <w:color w:val="002060"/>
          <w:sz w:val="24"/>
          <w:szCs w:val="24"/>
        </w:rPr>
      </w:pPr>
      <w:bookmarkStart w:name="_Toc584763263" w:id="857278754"/>
      <w:r w:rsidRPr="2FF77C75" w:rsidR="7C54500E">
        <w:rPr>
          <w:rFonts w:ascii="Calibri" w:hAnsi="Calibri" w:eastAsia="Calibri" w:cs="Calibri"/>
          <w:color w:val="002060"/>
          <w:sz w:val="24"/>
          <w:szCs w:val="24"/>
        </w:rPr>
        <w:t>Consideration of Leaving the Specialty</w:t>
      </w:r>
      <w:bookmarkEnd w:id="857278754"/>
    </w:p>
    <w:p w:rsidR="4C9258E6" w:rsidP="3A232ED9" w:rsidRDefault="7C54500E" w14:paraId="553AC726" w14:textId="1C5AA934">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Burnout and intention to leave the speciality was one of the most significant associations in the dataset. 95% of trainees in the low-burnout group said that they never or rarely thought about leaving. 4% of trainees occasionally considered it and 1% often thought about it. In comparison to the trainees in the high burnout group 32% frequently thought about leaving, 23% occasionally and 45% rarely considering it. Burnout is therefore a powerful indicator of retention risk, as highly burnout trainees were more than thirty times more likely to contemplate quitting than their lower-burnout counterparts. </w:t>
      </w:r>
    </w:p>
    <w:p w:rsidR="4C9258E6" w:rsidP="3A232ED9" w:rsidRDefault="004508E6" w14:paraId="07CC1FD7" w14:textId="3A74FA4D">
      <w:pPr>
        <w:spacing w:line="276" w:lineRule="auto"/>
        <w:rPr>
          <w:rFonts w:ascii="Calibri" w:hAnsi="Calibri" w:eastAsia="Calibri" w:cs="Calibri"/>
          <w:color w:val="000000" w:themeColor="text1"/>
          <w:sz w:val="24"/>
          <w:szCs w:val="24"/>
        </w:rPr>
      </w:pPr>
      <w:r w:rsidRPr="00F35686">
        <w:rPr>
          <w:rFonts w:ascii="Calibri" w:hAnsi="Calibri" w:cs="Calibri"/>
          <w:noProof/>
          <w:lang w:eastAsia="en-GB"/>
        </w:rPr>
        <w:drawing>
          <wp:inline distT="0" distB="0" distL="0" distR="0" wp14:anchorId="50A04ACB" wp14:editId="63BC41A0">
            <wp:extent cx="5731510" cy="2604770"/>
            <wp:effectExtent l="0" t="0" r="2540" b="5080"/>
            <wp:docPr id="17903251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17736A2F" w:rsidR="11F5570D">
        <w:rPr>
          <w:rFonts w:ascii="Calibri" w:hAnsi="Calibri" w:eastAsia="Calibri" w:cs="Calibri"/>
          <w:i w:val="1"/>
          <w:iCs w:val="1"/>
          <w:color w:val="000000" w:themeColor="text1" w:themeTint="FF" w:themeShade="FF"/>
          <w:sz w:val="24"/>
          <w:szCs w:val="24"/>
        </w:rPr>
        <w:t>Figure 1</w:t>
      </w:r>
      <w:r w:rsidRPr="17736A2F" w:rsidR="5EF88C98">
        <w:rPr>
          <w:rFonts w:ascii="Calibri" w:hAnsi="Calibri" w:eastAsia="Calibri" w:cs="Calibri"/>
          <w:i w:val="1"/>
          <w:iCs w:val="1"/>
          <w:color w:val="000000" w:themeColor="text1" w:themeTint="FF" w:themeShade="FF"/>
          <w:sz w:val="24"/>
          <w:szCs w:val="24"/>
        </w:rPr>
        <w:t>8</w:t>
      </w:r>
      <w:r w:rsidRPr="17736A2F" w:rsidR="11F5570D">
        <w:rPr>
          <w:rFonts w:ascii="Calibri" w:hAnsi="Calibri" w:eastAsia="Calibri" w:cs="Calibri"/>
          <w:i w:val="1"/>
          <w:iCs w:val="1"/>
          <w:color w:val="000000" w:themeColor="text1" w:themeTint="FF" w:themeShade="FF"/>
          <w:sz w:val="24"/>
          <w:szCs w:val="24"/>
        </w:rPr>
        <w:t xml:space="preserve"> – How often do you consider leaving the speciality?</w:t>
      </w:r>
    </w:p>
    <w:p w:rsidR="4C9258E6" w:rsidP="3A232ED9" w:rsidRDefault="7C54500E" w14:paraId="23F84616" w14:textId="0DE54238">
      <w:pPr>
        <w:pStyle w:val="Heading3"/>
        <w:spacing w:line="276" w:lineRule="auto"/>
        <w:rPr>
          <w:rFonts w:ascii="Calibri" w:hAnsi="Calibri" w:eastAsia="Calibri" w:cs="Calibri"/>
          <w:color w:val="002060"/>
          <w:sz w:val="24"/>
          <w:szCs w:val="24"/>
        </w:rPr>
      </w:pPr>
      <w:bookmarkStart w:name="_Toc2114938847" w:id="457297325"/>
      <w:r w:rsidRPr="2FF77C75" w:rsidR="7C54500E">
        <w:rPr>
          <w:rFonts w:ascii="Calibri" w:hAnsi="Calibri" w:eastAsia="Calibri" w:cs="Calibri"/>
          <w:color w:val="002060"/>
          <w:sz w:val="24"/>
          <w:szCs w:val="24"/>
        </w:rPr>
        <w:t>Sense of Belonging and Feeling Valued</w:t>
      </w:r>
      <w:bookmarkEnd w:id="457297325"/>
    </w:p>
    <w:p w:rsidR="4C9258E6" w:rsidP="3A232ED9" w:rsidRDefault="7C54500E" w14:paraId="6433ADE5" w14:textId="27A39691">
      <w:pPr>
        <w:spacing w:line="276" w:lineRule="auto"/>
        <w:jc w:val="both"/>
        <w:rPr>
          <w:rFonts w:ascii="Calibri" w:hAnsi="Calibri" w:eastAsia="Calibri" w:cs="Calibri"/>
          <w:color w:val="000000" w:themeColor="text1"/>
          <w:sz w:val="24"/>
          <w:szCs w:val="24"/>
        </w:rPr>
      </w:pPr>
      <w:r w:rsidRPr="17736A2F" w:rsidR="11F5570D">
        <w:rPr>
          <w:rFonts w:ascii="Calibri" w:hAnsi="Calibri" w:eastAsia="Calibri" w:cs="Calibri"/>
          <w:color w:val="000000" w:themeColor="text1" w:themeTint="FF" w:themeShade="FF"/>
          <w:sz w:val="24"/>
          <w:szCs w:val="24"/>
        </w:rPr>
        <w:t xml:space="preserve">Community perceptions in training units declined drastically with an increase in burnout. Concurrence that the unit made the trainees feel a sense of community and belonging was 83% among those trainees with low burnout, 64% with moderate burnout and only 50% with high burnout. The disagreement in the low-burnout group was 5 percent and in the high-burnout group was 25 percent and neutrality was 12 percent to 26 percent. Perceptions of belonging were thus highly correlated with burnout, p = 0.001. </w:t>
      </w:r>
    </w:p>
    <w:p w:rsidR="4C9258E6" w:rsidP="17736A2F" w:rsidRDefault="7C54500E" w14:paraId="483F7CB8" w14:textId="6D0324F7">
      <w:pPr>
        <w:pStyle w:val="Normal"/>
        <w:spacing w:line="257" w:lineRule="auto"/>
        <w:rPr>
          <w:rFonts w:ascii="Calibri" w:hAnsi="Calibri" w:eastAsia="Calibri" w:cs="Calibri"/>
          <w:i w:val="1"/>
          <w:iCs w:val="1"/>
          <w:color w:val="000000" w:themeColor="text1"/>
          <w:sz w:val="24"/>
          <w:szCs w:val="24"/>
        </w:rPr>
      </w:pPr>
      <w:r w:rsidR="40AD8668">
        <w:drawing>
          <wp:inline wp14:editId="5D6331CC" wp14:anchorId="334852C2">
            <wp:extent cx="5743575" cy="2686050"/>
            <wp:effectExtent l="0" t="0" r="0" b="0"/>
            <wp:docPr id="237471543" name="drawing" title="Chart 1, Chart elemen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7471543" name="Picture 237471543"/>
                    <pic:cNvPicPr/>
                  </pic:nvPicPr>
                  <pic:blipFill>
                    <a:blip xmlns:r="http://schemas.openxmlformats.org/officeDocument/2006/relationships" r:embed="rId130676699">
                      <a:extLst>
                        <a:ext uri="{28A0092B-C50C-407E-A947-70E740481C1C}">
                          <a14:useLocalDpi xmlns:a14="http://schemas.microsoft.com/office/drawing/2010/main"/>
                        </a:ext>
                      </a:extLst>
                    </a:blip>
                    <a:stretch>
                      <a:fillRect/>
                    </a:stretch>
                  </pic:blipFill>
                  <pic:spPr>
                    <a:xfrm>
                      <a:off x="0" y="0"/>
                      <a:ext cx="5743575" cy="2686050"/>
                    </a:xfrm>
                    <a:prstGeom prst="rect">
                      <a:avLst/>
                    </a:prstGeom>
                  </pic:spPr>
                </pic:pic>
              </a:graphicData>
            </a:graphic>
          </wp:inline>
        </w:drawing>
      </w:r>
      <w:r w:rsidRPr="17736A2F" w:rsidR="11F5570D">
        <w:rPr>
          <w:rFonts w:ascii="Calibri" w:hAnsi="Calibri" w:eastAsia="Calibri" w:cs="Calibri"/>
          <w:i w:val="1"/>
          <w:iCs w:val="1"/>
          <w:color w:val="000000" w:themeColor="text1" w:themeTint="FF" w:themeShade="FF"/>
          <w:sz w:val="24"/>
          <w:szCs w:val="24"/>
        </w:rPr>
        <w:t xml:space="preserve">Figure 19 – Association between level of burnout and sense of belonging. </w:t>
      </w:r>
    </w:p>
    <w:p w:rsidR="4C9258E6" w:rsidP="3A232ED9" w:rsidRDefault="7C54500E" w14:paraId="6646636C" w14:textId="3F36678D">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sense of being valued at work was also affected by burnout (chi-squared p&lt;0.001). 87% of trainees in the low burnout group felt valued at work, dropping to 68% for moderately burnt-out trainees and only 50% who were highly burnt out. </w:t>
      </w:r>
    </w:p>
    <w:p w:rsidR="00AE4DA4" w:rsidP="3A232ED9" w:rsidRDefault="00AE4DA4" w14:paraId="0961A318" w14:textId="77777777">
      <w:pPr>
        <w:pStyle w:val="Heading3"/>
        <w:spacing w:line="276" w:lineRule="auto"/>
        <w:rPr>
          <w:rFonts w:ascii="Calibri" w:hAnsi="Calibri" w:eastAsia="Calibri" w:cs="Calibri"/>
          <w:color w:val="002060"/>
          <w:sz w:val="24"/>
          <w:szCs w:val="24"/>
        </w:rPr>
      </w:pPr>
    </w:p>
    <w:p w:rsidR="4C9258E6" w:rsidP="3A232ED9" w:rsidRDefault="7C54500E" w14:paraId="221FD969" w14:textId="269A52A7">
      <w:pPr>
        <w:pStyle w:val="Heading3"/>
        <w:spacing w:line="276" w:lineRule="auto"/>
        <w:rPr>
          <w:rFonts w:ascii="Calibri" w:hAnsi="Calibri" w:eastAsia="Calibri" w:cs="Calibri"/>
          <w:color w:val="002060"/>
          <w:sz w:val="24"/>
          <w:szCs w:val="24"/>
        </w:rPr>
      </w:pPr>
      <w:bookmarkStart w:name="_Toc1446211943" w:id="66445726"/>
      <w:r w:rsidRPr="2FF77C75" w:rsidR="7C54500E">
        <w:rPr>
          <w:rFonts w:ascii="Calibri" w:hAnsi="Calibri" w:eastAsia="Calibri" w:cs="Calibri"/>
          <w:color w:val="002060"/>
          <w:sz w:val="24"/>
          <w:szCs w:val="24"/>
        </w:rPr>
        <w:t>Recognition of Positive Behaviours</w:t>
      </w:r>
      <w:bookmarkEnd w:id="66445726"/>
    </w:p>
    <w:p w:rsidR="4C9258E6" w:rsidP="3A232ED9" w:rsidRDefault="7C54500E" w14:paraId="2A07122C" w14:textId="41C12FAB">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Interestingly there was an association between burnout and the recognition of positive behaviours. 90% of low burnout trainees said that they had observed positive behaviours compared to 85% in the moderate burnout group and 77% in the high burnout group. This could mean that highly burnout trainees are less likely to observe positive behaviours or that they are less likely to be aware of or experience behaviours that they would class as positive. </w:t>
      </w:r>
    </w:p>
    <w:p w:rsidR="4C9258E6" w:rsidP="17736A2F" w:rsidRDefault="0017671A" w14:paraId="3E532068" w14:textId="081CF3D9">
      <w:pPr>
        <w:spacing w:line="276" w:lineRule="auto"/>
        <w:rPr>
          <w:rFonts w:ascii="Calibri" w:hAnsi="Calibri" w:eastAsia="Calibri" w:cs="Calibri"/>
          <w:i w:val="1"/>
          <w:iCs w:val="1"/>
          <w:color w:val="000000" w:themeColor="text1"/>
          <w:sz w:val="24"/>
          <w:szCs w:val="24"/>
        </w:rPr>
      </w:pPr>
      <w:r w:rsidRPr="00F35686">
        <w:rPr>
          <w:rFonts w:ascii="Calibri" w:hAnsi="Calibri" w:cs="Calibri"/>
          <w:noProof/>
          <w:lang w:eastAsia="en-GB"/>
        </w:rPr>
        <w:lastRenderedPageBreak/>
        <w:drawing>
          <wp:inline distT="0" distB="0" distL="0" distR="0" wp14:anchorId="54E18C49" wp14:editId="412557DF">
            <wp:extent cx="5731510" cy="2750820"/>
            <wp:effectExtent l="0" t="0" r="2540" b="11430"/>
            <wp:docPr id="36854309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17736A2F" w:rsidR="11F5570D">
        <w:rPr>
          <w:rFonts w:ascii="Calibri" w:hAnsi="Calibri" w:eastAsia="Calibri" w:cs="Calibri"/>
          <w:i w:val="1"/>
          <w:iCs w:val="1"/>
          <w:color w:val="000000" w:themeColor="text1" w:themeTint="FF" w:themeShade="FF"/>
          <w:sz w:val="24"/>
          <w:szCs w:val="24"/>
        </w:rPr>
        <w:t>Figure 18 -Relationship between burnout levels and recognition of positive behaviour</w:t>
      </w:r>
    </w:p>
    <w:p w:rsidR="00AE4DA4" w:rsidP="3A232ED9" w:rsidRDefault="007C42C2" w14:paraId="6A2873C4" w14:textId="7467A836">
      <w:pPr>
        <w:spacing w:line="276" w:lineRule="auto"/>
      </w:pPr>
    </w:p>
    <w:p w:rsidR="4C9258E6" w:rsidP="3A232ED9" w:rsidRDefault="7C54500E" w14:paraId="3230E236" w14:textId="2DB1FDA3">
      <w:pPr>
        <w:pStyle w:val="Heading3"/>
        <w:spacing w:line="276" w:lineRule="auto"/>
        <w:rPr>
          <w:rFonts w:ascii="Calibri" w:hAnsi="Calibri" w:eastAsia="Calibri" w:cs="Calibri"/>
          <w:color w:val="002060"/>
          <w:sz w:val="24"/>
          <w:szCs w:val="24"/>
        </w:rPr>
      </w:pPr>
      <w:bookmarkStart w:name="_Toc1836307057" w:id="1569644646"/>
      <w:r w:rsidRPr="2FF77C75" w:rsidR="7C54500E">
        <w:rPr>
          <w:rFonts w:ascii="Calibri" w:hAnsi="Calibri" w:eastAsia="Calibri" w:cs="Calibri"/>
          <w:color w:val="002060"/>
          <w:sz w:val="24"/>
          <w:szCs w:val="24"/>
        </w:rPr>
        <w:t>Sexual harassment/ inappropriate sexual behaviours</w:t>
      </w:r>
      <w:bookmarkEnd w:id="1569644646"/>
      <w:r w:rsidRPr="2FF77C75" w:rsidR="7C54500E">
        <w:rPr>
          <w:rFonts w:ascii="Calibri" w:hAnsi="Calibri" w:eastAsia="Calibri" w:cs="Calibri"/>
          <w:color w:val="002060"/>
          <w:sz w:val="24"/>
          <w:szCs w:val="24"/>
        </w:rPr>
        <w:t xml:space="preserve"> </w:t>
      </w:r>
    </w:p>
    <w:p w:rsidR="4C9258E6" w:rsidP="3A232ED9" w:rsidRDefault="7C54500E" w14:paraId="5ECD2BCC" w14:textId="527DAA7F">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questions related to the incidence of inappropriate sexual behaviours were seldom reported; however, statistically significant correlation with the level of burnout (p &lt; 0.05) was observed.  </w:t>
      </w:r>
    </w:p>
    <w:p w:rsidR="4C9258E6" w:rsidP="3A232ED9" w:rsidRDefault="7C54500E" w14:paraId="4CF5281C" w14:textId="36309571">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Among those with low burnout, 80% strongly disagreed that they had witnessed inappropriate sexual behaviours. Even in the high-burnout group, 73% reported not witnessing such behaviours. Personal experiences of inappropriate sexual behaviours were rarer still, affecting only about 1–2% of respondents.</w:t>
      </w:r>
    </w:p>
    <w:p w:rsidR="4C9258E6" w:rsidP="3A232ED9" w:rsidRDefault="7C54500E" w14:paraId="3AC2F348" w14:textId="0F29D957">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Even though the prevalence of both witnessing and experiencing inappropriate sexual behaviours was low but statistically significant correlation between the high levels of burnout and the high prevalence of reporting the behaviours.</w:t>
      </w:r>
    </w:p>
    <w:p w:rsidR="00A86250" w:rsidP="3A232ED9" w:rsidRDefault="00A86250" w14:paraId="27BC08D0" w14:textId="77777777">
      <w:pPr>
        <w:spacing w:line="276" w:lineRule="auto"/>
        <w:jc w:val="both"/>
        <w:rPr>
          <w:rFonts w:ascii="Calibri" w:hAnsi="Calibri" w:eastAsia="Calibri" w:cs="Calibri"/>
          <w:color w:val="000000" w:themeColor="text1"/>
          <w:sz w:val="24"/>
          <w:szCs w:val="24"/>
        </w:rPr>
      </w:pPr>
    </w:p>
    <w:p w:rsidR="4C9258E6" w:rsidP="3A232ED9" w:rsidRDefault="006C2BEF" w14:paraId="3C9EAB71" w14:textId="63680FEE">
      <w:pPr>
        <w:spacing w:line="276" w:lineRule="auto"/>
        <w:rPr>
          <w:rFonts w:ascii="Calibri" w:hAnsi="Calibri" w:eastAsia="Calibri" w:cs="Calibri"/>
          <w:color w:val="000000" w:themeColor="text1"/>
          <w:sz w:val="24"/>
          <w:szCs w:val="24"/>
        </w:rPr>
      </w:pPr>
      <w:r>
        <w:rPr>
          <w:noProof/>
          <w:lang w:eastAsia="en-GB"/>
        </w:rPr>
        <w:drawing>
          <wp:inline distT="0" distB="0" distL="0" distR="0" wp14:anchorId="2A380503" wp14:editId="42251EFA">
            <wp:extent cx="5390516" cy="2691765"/>
            <wp:effectExtent l="0" t="0" r="0" b="0"/>
            <wp:docPr id="20444351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4C9258E6" w:rsidP="3A232ED9" w:rsidRDefault="7C54500E" w14:paraId="5D8FA70B" w14:textId="3B85348F">
      <w:pPr>
        <w:tabs>
          <w:tab w:val="left" w:pos="2600"/>
        </w:tabs>
        <w:spacing w:line="276" w:lineRule="auto"/>
        <w:rPr>
          <w:rFonts w:ascii="Aptos" w:hAnsi="Aptos" w:eastAsia="Aptos" w:cs="Aptos"/>
          <w:i/>
          <w:iCs/>
          <w:color w:val="000000" w:themeColor="text1"/>
          <w:sz w:val="18"/>
          <w:szCs w:val="18"/>
        </w:rPr>
      </w:pPr>
      <w:r w:rsidRPr="3A232ED9">
        <w:rPr>
          <w:rFonts w:ascii="Aptos" w:hAnsi="Aptos" w:eastAsia="Aptos" w:cs="Aptos"/>
          <w:i/>
          <w:iCs/>
          <w:color w:val="000000" w:themeColor="text1"/>
          <w:sz w:val="18"/>
          <w:szCs w:val="18"/>
        </w:rPr>
        <w:t>Figure 20: In this post I have WITNESSED inappropriate sexual behaviours</w:t>
      </w:r>
    </w:p>
    <w:p w:rsidR="007108C9" w:rsidP="3A232ED9" w:rsidRDefault="007108C9" w14:paraId="21F75DA8" w14:textId="77777777">
      <w:pPr>
        <w:tabs>
          <w:tab w:val="left" w:pos="2600"/>
        </w:tabs>
        <w:spacing w:line="276" w:lineRule="auto"/>
        <w:rPr>
          <w:rFonts w:ascii="Aptos" w:hAnsi="Aptos" w:eastAsia="Aptos" w:cs="Aptos"/>
          <w:i/>
          <w:iCs/>
          <w:color w:val="000000" w:themeColor="text1"/>
          <w:sz w:val="18"/>
          <w:szCs w:val="18"/>
        </w:rPr>
      </w:pPr>
    </w:p>
    <w:p w:rsidR="003F5A34" w:rsidP="3A232ED9" w:rsidRDefault="003F5A34" w14:paraId="16DF5A8E" w14:textId="11A1C02C">
      <w:pPr>
        <w:tabs>
          <w:tab w:val="left" w:pos="2600"/>
        </w:tabs>
        <w:spacing w:line="276" w:lineRule="auto"/>
        <w:rPr>
          <w:rFonts w:ascii="Aptos" w:hAnsi="Aptos" w:eastAsia="Aptos" w:cs="Aptos"/>
          <w:color w:val="000000" w:themeColor="text1"/>
          <w:sz w:val="18"/>
          <w:szCs w:val="18"/>
        </w:rPr>
      </w:pPr>
      <w:r>
        <w:rPr>
          <w:noProof/>
          <w:lang w:eastAsia="en-GB"/>
        </w:rPr>
        <w:drawing>
          <wp:inline distT="0" distB="0" distL="0" distR="0" wp14:anchorId="05560F83" wp14:editId="519DB88E">
            <wp:extent cx="5415918" cy="2551432"/>
            <wp:effectExtent l="0" t="0" r="0" b="0"/>
            <wp:docPr id="91882104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4C9258E6" w:rsidP="3A232ED9" w:rsidRDefault="7C54500E" w14:paraId="7082EF0A" w14:textId="361E9168">
      <w:pPr>
        <w:spacing w:line="257" w:lineRule="auto"/>
        <w:rPr>
          <w:rFonts w:ascii="Aptos" w:hAnsi="Aptos" w:eastAsia="Aptos" w:cs="Aptos"/>
          <w:i/>
          <w:iCs/>
          <w:color w:val="000000" w:themeColor="text1"/>
          <w:sz w:val="18"/>
          <w:szCs w:val="18"/>
        </w:rPr>
      </w:pPr>
      <w:r w:rsidRPr="3A232ED9">
        <w:rPr>
          <w:rFonts w:ascii="Aptos" w:hAnsi="Aptos" w:eastAsia="Aptos" w:cs="Aptos"/>
          <w:i/>
          <w:iCs/>
          <w:color w:val="000000" w:themeColor="text1"/>
          <w:sz w:val="18"/>
          <w:szCs w:val="18"/>
        </w:rPr>
        <w:t>Figure 21:  In this post I have EXPERIENCED inappropriate sexual behaviours</w:t>
      </w:r>
    </w:p>
    <w:p w:rsidR="003F5A34" w:rsidP="3A232ED9" w:rsidRDefault="003F5A34" w14:paraId="1E40424C" w14:textId="77777777">
      <w:pPr>
        <w:spacing w:line="257" w:lineRule="auto"/>
        <w:rPr>
          <w:rFonts w:ascii="Aptos" w:hAnsi="Aptos" w:eastAsia="Aptos" w:cs="Aptos"/>
          <w:color w:val="000000" w:themeColor="text1"/>
          <w:sz w:val="18"/>
          <w:szCs w:val="18"/>
        </w:rPr>
      </w:pPr>
    </w:p>
    <w:p w:rsidR="4C9258E6" w:rsidP="3A232ED9" w:rsidRDefault="7C54500E" w14:paraId="7FFD6607" w14:textId="604A9203">
      <w:pPr>
        <w:pStyle w:val="Heading3"/>
        <w:spacing w:line="276" w:lineRule="auto"/>
        <w:rPr>
          <w:rFonts w:ascii="Calibri" w:hAnsi="Calibri" w:eastAsia="Calibri" w:cs="Calibri"/>
          <w:color w:val="002060"/>
          <w:sz w:val="24"/>
          <w:szCs w:val="24"/>
        </w:rPr>
      </w:pPr>
      <w:bookmarkStart w:name="_Toc98780523" w:id="39879861"/>
      <w:r w:rsidRPr="2FF77C75" w:rsidR="7C54500E">
        <w:rPr>
          <w:rFonts w:ascii="Calibri" w:hAnsi="Calibri" w:eastAsia="Calibri" w:cs="Calibri"/>
          <w:color w:val="002060"/>
          <w:sz w:val="24"/>
          <w:szCs w:val="24"/>
        </w:rPr>
        <w:t>Undermining Behaviour</w:t>
      </w:r>
      <w:bookmarkEnd w:id="39879861"/>
    </w:p>
    <w:p w:rsidR="4C9258E6" w:rsidP="3A232ED9" w:rsidRDefault="7C54500E" w14:paraId="42534692" w14:textId="7E840ADB">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likelihood of witnessing behaviour that undermined a colleagues confidence increased significantly with burnout levels, (P&lt;0.001) observed by 11% in the low burn-out group and 29% in the high burnout group. Being personally undermined showed a similar trend with 8% reporting frequently experiencing such behaviour, 18% occasionally and 74% rarely. </w:t>
      </w:r>
    </w:p>
    <w:p w:rsidR="4C9258E6" w:rsidP="3A232ED9" w:rsidRDefault="4C9258E6" w14:paraId="51167B6A" w14:textId="7A691716">
      <w:pPr>
        <w:spacing w:line="276" w:lineRule="auto"/>
        <w:rPr>
          <w:rFonts w:ascii="Calibri" w:hAnsi="Calibri" w:eastAsia="Calibri" w:cs="Calibri"/>
          <w:color w:val="000000" w:themeColor="text1"/>
          <w:sz w:val="24"/>
          <w:szCs w:val="24"/>
        </w:rPr>
      </w:pPr>
    </w:p>
    <w:p w:rsidR="4C9258E6" w:rsidP="3A232ED9" w:rsidRDefault="7C54500E" w14:paraId="20B184AC" w14:textId="1ABCC5B7">
      <w:pPr>
        <w:pStyle w:val="Heading3"/>
        <w:spacing w:line="276" w:lineRule="auto"/>
        <w:rPr>
          <w:rFonts w:ascii="Calibri" w:hAnsi="Calibri" w:eastAsia="Calibri" w:cs="Calibri"/>
          <w:color w:val="002060"/>
          <w:sz w:val="24"/>
          <w:szCs w:val="24"/>
        </w:rPr>
      </w:pPr>
      <w:bookmarkStart w:name="_Toc1695414213" w:id="33952203"/>
      <w:r w:rsidRPr="2FF77C75" w:rsidR="7C54500E">
        <w:rPr>
          <w:rFonts w:ascii="Calibri" w:hAnsi="Calibri" w:eastAsia="Calibri" w:cs="Calibri"/>
          <w:color w:val="002060"/>
          <w:sz w:val="24"/>
          <w:szCs w:val="24"/>
        </w:rPr>
        <w:t>Perceptions</w:t>
      </w:r>
      <w:r w:rsidRPr="2FF77C75" w:rsidR="7C54500E">
        <w:rPr>
          <w:rFonts w:ascii="Calibri" w:hAnsi="Calibri" w:eastAsia="Calibri" w:cs="Calibri"/>
          <w:color w:val="002060"/>
          <w:sz w:val="24"/>
          <w:szCs w:val="24"/>
        </w:rPr>
        <w:t xml:space="preserve"> of Leadership</w:t>
      </w:r>
      <w:bookmarkEnd w:id="33952203"/>
    </w:p>
    <w:p w:rsidR="4C9258E6" w:rsidP="3A232ED9" w:rsidRDefault="7C54500E" w14:paraId="5A169BE8" w14:textId="6E050F7F">
      <w:pPr>
        <w:spacing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Trainees with a high burnout level were more like to perceive poor senior medical leadership with the inverse being true for trainees with low levels of burnout.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1470"/>
        <w:gridCol w:w="2415"/>
        <w:gridCol w:w="2355"/>
        <w:gridCol w:w="2520"/>
      </w:tblGrid>
      <w:tr w:rsidR="3A232ED9" w:rsidTr="3A232ED9" w14:paraId="5ABCEA29" w14:textId="77777777">
        <w:trPr>
          <w:trHeight w:val="285"/>
        </w:trPr>
        <w:tc>
          <w:tcPr>
            <w:tcW w:w="1470" w:type="dxa"/>
            <w:tcMar>
              <w:left w:w="105" w:type="dxa"/>
              <w:right w:w="105" w:type="dxa"/>
            </w:tcMar>
          </w:tcPr>
          <w:p w:rsidR="3A232ED9" w:rsidP="3A232ED9" w:rsidRDefault="3A232ED9" w14:paraId="55E1AD6C" w14:textId="5A4639E6">
            <w:pPr>
              <w:rPr>
                <w:rFonts w:ascii="Calibri" w:hAnsi="Calibri" w:eastAsia="Calibri" w:cs="Calibri"/>
                <w:sz w:val="24"/>
                <w:szCs w:val="24"/>
              </w:rPr>
            </w:pPr>
          </w:p>
        </w:tc>
        <w:tc>
          <w:tcPr>
            <w:tcW w:w="7290" w:type="dxa"/>
            <w:gridSpan w:val="3"/>
            <w:tcMar>
              <w:left w:w="105" w:type="dxa"/>
              <w:right w:w="105" w:type="dxa"/>
            </w:tcMar>
          </w:tcPr>
          <w:p w:rsidR="3A232ED9" w:rsidP="3A232ED9" w:rsidRDefault="3A232ED9" w14:paraId="24303F62" w14:textId="761BC42B">
            <w:pPr>
              <w:rPr>
                <w:rFonts w:ascii="Calibri" w:hAnsi="Calibri" w:eastAsia="Calibri" w:cs="Calibri"/>
                <w:sz w:val="24"/>
                <w:szCs w:val="24"/>
              </w:rPr>
            </w:pPr>
            <w:r w:rsidRPr="3A232ED9">
              <w:rPr>
                <w:rFonts w:ascii="Calibri" w:hAnsi="Calibri" w:eastAsia="Calibri" w:cs="Calibri"/>
                <w:i/>
                <w:iCs/>
                <w:sz w:val="24"/>
                <w:szCs w:val="24"/>
              </w:rPr>
              <w:t>How often have you seen poor senior medical leadership skills demonstrated within your unit?</w:t>
            </w:r>
          </w:p>
        </w:tc>
      </w:tr>
      <w:tr w:rsidR="3A232ED9" w:rsidTr="3A232ED9" w14:paraId="2BCDBDDA" w14:textId="77777777">
        <w:trPr>
          <w:trHeight w:val="285"/>
        </w:trPr>
        <w:tc>
          <w:tcPr>
            <w:tcW w:w="1470" w:type="dxa"/>
            <w:tcMar>
              <w:left w:w="105" w:type="dxa"/>
              <w:right w:w="105" w:type="dxa"/>
            </w:tcMar>
          </w:tcPr>
          <w:p w:rsidR="3A232ED9" w:rsidP="3A232ED9" w:rsidRDefault="3A232ED9" w14:paraId="49D903D6" w14:textId="662713D8">
            <w:pPr>
              <w:rPr>
                <w:rFonts w:ascii="Calibri" w:hAnsi="Calibri" w:eastAsia="Calibri" w:cs="Calibri"/>
                <w:sz w:val="24"/>
                <w:szCs w:val="24"/>
              </w:rPr>
            </w:pPr>
            <w:r w:rsidRPr="3A232ED9">
              <w:rPr>
                <w:rFonts w:ascii="Calibri" w:hAnsi="Calibri" w:eastAsia="Calibri" w:cs="Calibri"/>
                <w:i/>
                <w:iCs/>
                <w:sz w:val="24"/>
                <w:szCs w:val="24"/>
              </w:rPr>
              <w:t>Burnout</w:t>
            </w:r>
          </w:p>
        </w:tc>
        <w:tc>
          <w:tcPr>
            <w:tcW w:w="2415" w:type="dxa"/>
            <w:tcMar>
              <w:left w:w="105" w:type="dxa"/>
              <w:right w:w="105" w:type="dxa"/>
            </w:tcMar>
          </w:tcPr>
          <w:p w:rsidR="3A232ED9" w:rsidP="3A232ED9" w:rsidRDefault="3A232ED9" w14:paraId="562E89F3" w14:textId="1937358A">
            <w:pPr>
              <w:rPr>
                <w:rFonts w:ascii="Calibri" w:hAnsi="Calibri" w:eastAsia="Calibri" w:cs="Calibri"/>
                <w:sz w:val="24"/>
                <w:szCs w:val="24"/>
              </w:rPr>
            </w:pPr>
            <w:r w:rsidRPr="3A232ED9">
              <w:rPr>
                <w:rFonts w:ascii="Calibri" w:hAnsi="Calibri" w:eastAsia="Calibri" w:cs="Calibri"/>
                <w:i/>
                <w:iCs/>
                <w:sz w:val="24"/>
                <w:szCs w:val="24"/>
              </w:rPr>
              <w:t>Never/rarely</w:t>
            </w:r>
          </w:p>
        </w:tc>
        <w:tc>
          <w:tcPr>
            <w:tcW w:w="2355" w:type="dxa"/>
            <w:tcMar>
              <w:left w:w="105" w:type="dxa"/>
              <w:right w:w="105" w:type="dxa"/>
            </w:tcMar>
          </w:tcPr>
          <w:p w:rsidR="3A232ED9" w:rsidP="3A232ED9" w:rsidRDefault="3A232ED9" w14:paraId="52ABDCB6" w14:textId="08E4412E">
            <w:pPr>
              <w:rPr>
                <w:rFonts w:ascii="Calibri" w:hAnsi="Calibri" w:eastAsia="Calibri" w:cs="Calibri"/>
                <w:sz w:val="24"/>
                <w:szCs w:val="24"/>
              </w:rPr>
            </w:pPr>
            <w:r w:rsidRPr="3A232ED9">
              <w:rPr>
                <w:rFonts w:ascii="Calibri" w:hAnsi="Calibri" w:eastAsia="Calibri" w:cs="Calibri"/>
                <w:i/>
                <w:iCs/>
                <w:sz w:val="24"/>
                <w:szCs w:val="24"/>
              </w:rPr>
              <w:t>Occasionally</w:t>
            </w:r>
          </w:p>
        </w:tc>
        <w:tc>
          <w:tcPr>
            <w:tcW w:w="2520" w:type="dxa"/>
            <w:tcMar>
              <w:left w:w="105" w:type="dxa"/>
              <w:right w:w="105" w:type="dxa"/>
            </w:tcMar>
          </w:tcPr>
          <w:p w:rsidR="3A232ED9" w:rsidP="3A232ED9" w:rsidRDefault="3A232ED9" w14:paraId="736F9ECA" w14:textId="186311A0">
            <w:pPr>
              <w:rPr>
                <w:rFonts w:ascii="Calibri" w:hAnsi="Calibri" w:eastAsia="Calibri" w:cs="Calibri"/>
                <w:sz w:val="24"/>
                <w:szCs w:val="24"/>
              </w:rPr>
            </w:pPr>
            <w:r w:rsidRPr="3A232ED9">
              <w:rPr>
                <w:rFonts w:ascii="Calibri" w:hAnsi="Calibri" w:eastAsia="Calibri" w:cs="Calibri"/>
                <w:i/>
                <w:iCs/>
                <w:sz w:val="24"/>
                <w:szCs w:val="24"/>
              </w:rPr>
              <w:t>Always/often</w:t>
            </w:r>
          </w:p>
        </w:tc>
      </w:tr>
      <w:tr w:rsidR="3A232ED9" w:rsidTr="3A232ED9" w14:paraId="2A6EB8B6" w14:textId="77777777">
        <w:trPr>
          <w:trHeight w:val="285"/>
        </w:trPr>
        <w:tc>
          <w:tcPr>
            <w:tcW w:w="1470" w:type="dxa"/>
            <w:tcMar>
              <w:left w:w="105" w:type="dxa"/>
              <w:right w:w="105" w:type="dxa"/>
            </w:tcMar>
          </w:tcPr>
          <w:p w:rsidR="3A232ED9" w:rsidP="3A232ED9" w:rsidRDefault="3A232ED9" w14:paraId="39723B91" w14:textId="1297A97E">
            <w:pPr>
              <w:rPr>
                <w:rFonts w:ascii="Calibri" w:hAnsi="Calibri" w:eastAsia="Calibri" w:cs="Calibri"/>
                <w:sz w:val="24"/>
                <w:szCs w:val="24"/>
              </w:rPr>
            </w:pPr>
            <w:r w:rsidRPr="3A232ED9">
              <w:rPr>
                <w:rFonts w:ascii="Calibri" w:hAnsi="Calibri" w:eastAsia="Calibri" w:cs="Calibri"/>
                <w:i/>
                <w:iCs/>
                <w:sz w:val="24"/>
                <w:szCs w:val="24"/>
              </w:rPr>
              <w:t>Low</w:t>
            </w:r>
          </w:p>
        </w:tc>
        <w:tc>
          <w:tcPr>
            <w:tcW w:w="2415" w:type="dxa"/>
            <w:tcMar>
              <w:left w:w="105" w:type="dxa"/>
              <w:right w:w="105" w:type="dxa"/>
            </w:tcMar>
          </w:tcPr>
          <w:p w:rsidR="3A232ED9" w:rsidP="3A232ED9" w:rsidRDefault="3A232ED9" w14:paraId="3637124B" w14:textId="6E2086F2">
            <w:pPr>
              <w:rPr>
                <w:rFonts w:ascii="Calibri" w:hAnsi="Calibri" w:eastAsia="Calibri" w:cs="Calibri"/>
                <w:sz w:val="24"/>
                <w:szCs w:val="24"/>
              </w:rPr>
            </w:pPr>
            <w:r w:rsidRPr="3A232ED9">
              <w:rPr>
                <w:rFonts w:ascii="Calibri" w:hAnsi="Calibri" w:eastAsia="Calibri" w:cs="Calibri"/>
                <w:i/>
                <w:iCs/>
                <w:sz w:val="24"/>
                <w:szCs w:val="24"/>
              </w:rPr>
              <w:t>77%</w:t>
            </w:r>
          </w:p>
        </w:tc>
        <w:tc>
          <w:tcPr>
            <w:tcW w:w="2355" w:type="dxa"/>
            <w:tcMar>
              <w:left w:w="105" w:type="dxa"/>
              <w:right w:w="105" w:type="dxa"/>
            </w:tcMar>
          </w:tcPr>
          <w:p w:rsidR="3A232ED9" w:rsidP="3A232ED9" w:rsidRDefault="3A232ED9" w14:paraId="714A2327" w14:textId="5E96CDF9">
            <w:pPr>
              <w:rPr>
                <w:rFonts w:ascii="Calibri" w:hAnsi="Calibri" w:eastAsia="Calibri" w:cs="Calibri"/>
                <w:sz w:val="24"/>
                <w:szCs w:val="24"/>
              </w:rPr>
            </w:pPr>
            <w:r w:rsidRPr="3A232ED9">
              <w:rPr>
                <w:rFonts w:ascii="Calibri" w:hAnsi="Calibri" w:eastAsia="Calibri" w:cs="Calibri"/>
                <w:i/>
                <w:iCs/>
                <w:sz w:val="24"/>
                <w:szCs w:val="24"/>
              </w:rPr>
              <w:t>19%</w:t>
            </w:r>
          </w:p>
        </w:tc>
        <w:tc>
          <w:tcPr>
            <w:tcW w:w="2520" w:type="dxa"/>
            <w:tcMar>
              <w:left w:w="105" w:type="dxa"/>
              <w:right w:w="105" w:type="dxa"/>
            </w:tcMar>
          </w:tcPr>
          <w:p w:rsidR="3A232ED9" w:rsidP="3A232ED9" w:rsidRDefault="3A232ED9" w14:paraId="3B3CBA57" w14:textId="7BCDC3EE">
            <w:pPr>
              <w:rPr>
                <w:rFonts w:ascii="Calibri" w:hAnsi="Calibri" w:eastAsia="Calibri" w:cs="Calibri"/>
                <w:sz w:val="24"/>
                <w:szCs w:val="24"/>
              </w:rPr>
            </w:pPr>
            <w:r w:rsidRPr="3A232ED9">
              <w:rPr>
                <w:rFonts w:ascii="Calibri" w:hAnsi="Calibri" w:eastAsia="Calibri" w:cs="Calibri"/>
                <w:i/>
                <w:iCs/>
                <w:sz w:val="24"/>
                <w:szCs w:val="24"/>
              </w:rPr>
              <w:t>4%</w:t>
            </w:r>
          </w:p>
        </w:tc>
      </w:tr>
      <w:tr w:rsidR="3A232ED9" w:rsidTr="3A232ED9" w14:paraId="43570D86" w14:textId="77777777">
        <w:trPr>
          <w:trHeight w:val="285"/>
        </w:trPr>
        <w:tc>
          <w:tcPr>
            <w:tcW w:w="1470" w:type="dxa"/>
            <w:tcMar>
              <w:left w:w="105" w:type="dxa"/>
              <w:right w:w="105" w:type="dxa"/>
            </w:tcMar>
          </w:tcPr>
          <w:p w:rsidR="3A232ED9" w:rsidP="3A232ED9" w:rsidRDefault="3A232ED9" w14:paraId="0B6089A8" w14:textId="248619C4">
            <w:pPr>
              <w:rPr>
                <w:rFonts w:ascii="Calibri" w:hAnsi="Calibri" w:eastAsia="Calibri" w:cs="Calibri"/>
                <w:sz w:val="24"/>
                <w:szCs w:val="24"/>
              </w:rPr>
            </w:pPr>
            <w:r w:rsidRPr="3A232ED9">
              <w:rPr>
                <w:rFonts w:ascii="Calibri" w:hAnsi="Calibri" w:eastAsia="Calibri" w:cs="Calibri"/>
                <w:i/>
                <w:iCs/>
                <w:sz w:val="24"/>
                <w:szCs w:val="24"/>
              </w:rPr>
              <w:t>Moderate</w:t>
            </w:r>
          </w:p>
        </w:tc>
        <w:tc>
          <w:tcPr>
            <w:tcW w:w="2415" w:type="dxa"/>
            <w:tcMar>
              <w:left w:w="105" w:type="dxa"/>
              <w:right w:w="105" w:type="dxa"/>
            </w:tcMar>
          </w:tcPr>
          <w:p w:rsidR="3A232ED9" w:rsidP="3A232ED9" w:rsidRDefault="3A232ED9" w14:paraId="62FA352F" w14:textId="1C77F19A">
            <w:pPr>
              <w:rPr>
                <w:rFonts w:ascii="Calibri" w:hAnsi="Calibri" w:eastAsia="Calibri" w:cs="Calibri"/>
                <w:sz w:val="24"/>
                <w:szCs w:val="24"/>
              </w:rPr>
            </w:pPr>
            <w:r w:rsidRPr="3A232ED9">
              <w:rPr>
                <w:rFonts w:ascii="Calibri" w:hAnsi="Calibri" w:eastAsia="Calibri" w:cs="Calibri"/>
                <w:i/>
                <w:iCs/>
                <w:sz w:val="24"/>
                <w:szCs w:val="24"/>
              </w:rPr>
              <w:t>58%</w:t>
            </w:r>
          </w:p>
        </w:tc>
        <w:tc>
          <w:tcPr>
            <w:tcW w:w="2355" w:type="dxa"/>
            <w:tcMar>
              <w:left w:w="105" w:type="dxa"/>
              <w:right w:w="105" w:type="dxa"/>
            </w:tcMar>
          </w:tcPr>
          <w:p w:rsidR="3A232ED9" w:rsidP="3A232ED9" w:rsidRDefault="3A232ED9" w14:paraId="4F995DCD" w14:textId="4FD7090F">
            <w:pPr>
              <w:rPr>
                <w:rFonts w:ascii="Calibri" w:hAnsi="Calibri" w:eastAsia="Calibri" w:cs="Calibri"/>
                <w:sz w:val="24"/>
                <w:szCs w:val="24"/>
              </w:rPr>
            </w:pPr>
            <w:r w:rsidRPr="3A232ED9">
              <w:rPr>
                <w:rFonts w:ascii="Calibri" w:hAnsi="Calibri" w:eastAsia="Calibri" w:cs="Calibri"/>
                <w:i/>
                <w:iCs/>
                <w:sz w:val="24"/>
                <w:szCs w:val="24"/>
              </w:rPr>
              <w:t>33%</w:t>
            </w:r>
          </w:p>
        </w:tc>
        <w:tc>
          <w:tcPr>
            <w:tcW w:w="2520" w:type="dxa"/>
            <w:tcMar>
              <w:left w:w="105" w:type="dxa"/>
              <w:right w:w="105" w:type="dxa"/>
            </w:tcMar>
          </w:tcPr>
          <w:p w:rsidR="3A232ED9" w:rsidP="3A232ED9" w:rsidRDefault="3A232ED9" w14:paraId="018AA28D" w14:textId="06D38FC9">
            <w:pPr>
              <w:rPr>
                <w:rFonts w:ascii="Calibri" w:hAnsi="Calibri" w:eastAsia="Calibri" w:cs="Calibri"/>
                <w:sz w:val="24"/>
                <w:szCs w:val="24"/>
              </w:rPr>
            </w:pPr>
            <w:r w:rsidRPr="3A232ED9">
              <w:rPr>
                <w:rFonts w:ascii="Calibri" w:hAnsi="Calibri" w:eastAsia="Calibri" w:cs="Calibri"/>
                <w:i/>
                <w:iCs/>
                <w:sz w:val="24"/>
                <w:szCs w:val="24"/>
              </w:rPr>
              <w:t>9%</w:t>
            </w:r>
          </w:p>
        </w:tc>
      </w:tr>
      <w:tr w:rsidR="3A232ED9" w:rsidTr="3A232ED9" w14:paraId="741B103A" w14:textId="77777777">
        <w:trPr>
          <w:trHeight w:val="285"/>
        </w:trPr>
        <w:tc>
          <w:tcPr>
            <w:tcW w:w="1470" w:type="dxa"/>
            <w:tcMar>
              <w:left w:w="105" w:type="dxa"/>
              <w:right w:w="105" w:type="dxa"/>
            </w:tcMar>
          </w:tcPr>
          <w:p w:rsidR="3A232ED9" w:rsidP="3A232ED9" w:rsidRDefault="3A232ED9" w14:paraId="677D3B3D" w14:textId="15CD6329">
            <w:pPr>
              <w:rPr>
                <w:rFonts w:ascii="Calibri" w:hAnsi="Calibri" w:eastAsia="Calibri" w:cs="Calibri"/>
                <w:sz w:val="24"/>
                <w:szCs w:val="24"/>
              </w:rPr>
            </w:pPr>
            <w:r w:rsidRPr="3A232ED9">
              <w:rPr>
                <w:rFonts w:ascii="Calibri" w:hAnsi="Calibri" w:eastAsia="Calibri" w:cs="Calibri"/>
                <w:i/>
                <w:iCs/>
                <w:sz w:val="24"/>
                <w:szCs w:val="24"/>
              </w:rPr>
              <w:t>High</w:t>
            </w:r>
          </w:p>
        </w:tc>
        <w:tc>
          <w:tcPr>
            <w:tcW w:w="2415" w:type="dxa"/>
            <w:tcMar>
              <w:left w:w="105" w:type="dxa"/>
              <w:right w:w="105" w:type="dxa"/>
            </w:tcMar>
          </w:tcPr>
          <w:p w:rsidR="3A232ED9" w:rsidP="3A232ED9" w:rsidRDefault="3A232ED9" w14:paraId="4A4C4C6F" w14:textId="2E9D0496">
            <w:pPr>
              <w:rPr>
                <w:rFonts w:ascii="Calibri" w:hAnsi="Calibri" w:eastAsia="Calibri" w:cs="Calibri"/>
                <w:sz w:val="24"/>
                <w:szCs w:val="24"/>
              </w:rPr>
            </w:pPr>
            <w:r w:rsidRPr="3A232ED9">
              <w:rPr>
                <w:rFonts w:ascii="Calibri" w:hAnsi="Calibri" w:eastAsia="Calibri" w:cs="Calibri"/>
                <w:i/>
                <w:iCs/>
                <w:sz w:val="24"/>
                <w:szCs w:val="24"/>
              </w:rPr>
              <w:t>43%</w:t>
            </w:r>
          </w:p>
        </w:tc>
        <w:tc>
          <w:tcPr>
            <w:tcW w:w="2355" w:type="dxa"/>
            <w:tcMar>
              <w:left w:w="105" w:type="dxa"/>
              <w:right w:w="105" w:type="dxa"/>
            </w:tcMar>
          </w:tcPr>
          <w:p w:rsidR="3A232ED9" w:rsidP="3A232ED9" w:rsidRDefault="3A232ED9" w14:paraId="752D428F" w14:textId="49A78B6D">
            <w:pPr>
              <w:rPr>
                <w:rFonts w:ascii="Calibri" w:hAnsi="Calibri" w:eastAsia="Calibri" w:cs="Calibri"/>
                <w:sz w:val="24"/>
                <w:szCs w:val="24"/>
              </w:rPr>
            </w:pPr>
            <w:r w:rsidRPr="3A232ED9">
              <w:rPr>
                <w:rFonts w:ascii="Calibri" w:hAnsi="Calibri" w:eastAsia="Calibri" w:cs="Calibri"/>
                <w:i/>
                <w:iCs/>
                <w:sz w:val="24"/>
                <w:szCs w:val="24"/>
              </w:rPr>
              <w:t>39%</w:t>
            </w:r>
          </w:p>
        </w:tc>
        <w:tc>
          <w:tcPr>
            <w:tcW w:w="2520" w:type="dxa"/>
            <w:tcMar>
              <w:left w:w="105" w:type="dxa"/>
              <w:right w:w="105" w:type="dxa"/>
            </w:tcMar>
          </w:tcPr>
          <w:p w:rsidR="3A232ED9" w:rsidP="3A232ED9" w:rsidRDefault="3A232ED9" w14:paraId="49D64480" w14:textId="53139107">
            <w:pPr>
              <w:rPr>
                <w:rFonts w:ascii="Calibri" w:hAnsi="Calibri" w:eastAsia="Calibri" w:cs="Calibri"/>
                <w:sz w:val="24"/>
                <w:szCs w:val="24"/>
              </w:rPr>
            </w:pPr>
            <w:r w:rsidRPr="3A232ED9">
              <w:rPr>
                <w:rFonts w:ascii="Calibri" w:hAnsi="Calibri" w:eastAsia="Calibri" w:cs="Calibri"/>
                <w:i/>
                <w:iCs/>
                <w:sz w:val="24"/>
                <w:szCs w:val="24"/>
              </w:rPr>
              <w:t>18%</w:t>
            </w:r>
          </w:p>
        </w:tc>
      </w:tr>
    </w:tbl>
    <w:p w:rsidR="4C9258E6" w:rsidP="3A232ED9" w:rsidRDefault="4C9258E6" w14:paraId="38386B90" w14:textId="5D2B2F38">
      <w:pPr>
        <w:spacing w:line="276" w:lineRule="auto"/>
        <w:rPr>
          <w:rFonts w:ascii="Calibri" w:hAnsi="Calibri" w:eastAsia="Calibri" w:cs="Calibri"/>
          <w:color w:val="000000" w:themeColor="text1"/>
          <w:sz w:val="24"/>
          <w:szCs w:val="24"/>
        </w:rPr>
      </w:pPr>
    </w:p>
    <w:p w:rsidR="4C9258E6" w:rsidP="3A232ED9" w:rsidRDefault="7C54500E" w14:paraId="1141C085" w14:textId="7210EABA">
      <w:pPr>
        <w:pStyle w:val="Heading3"/>
        <w:spacing w:line="276" w:lineRule="auto"/>
        <w:rPr>
          <w:rFonts w:ascii="Calibri" w:hAnsi="Calibri" w:eastAsia="Calibri" w:cs="Calibri"/>
          <w:color w:val="0F4761"/>
          <w:sz w:val="24"/>
          <w:szCs w:val="24"/>
        </w:rPr>
      </w:pPr>
      <w:bookmarkStart w:name="_Toc234836438" w:id="1528455338"/>
      <w:r w:rsidRPr="2FF77C75" w:rsidR="7C54500E">
        <w:rPr>
          <w:rFonts w:ascii="Calibri" w:hAnsi="Calibri" w:eastAsia="Calibri" w:cs="Calibri"/>
          <w:color w:val="0F4761"/>
          <w:sz w:val="24"/>
          <w:szCs w:val="24"/>
        </w:rPr>
        <w:t>Workload and Learning Needs</w:t>
      </w:r>
      <w:bookmarkEnd w:id="1528455338"/>
    </w:p>
    <w:p w:rsidR="4C9258E6" w:rsidP="3A232ED9" w:rsidRDefault="7C54500E" w14:paraId="49FB2A44" w14:textId="5E045C76">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Strong correlations (p&lt;0.001) were also observed between the level of burnout and perception that the work intensity was too high to learn. 10% of trainees in the low burnout group felt that the work intensity was too high, compared to 29% in the moderate group and 49% in the high burnout group. There is a likelihood that high workload can compromise meaningful learning. </w:t>
      </w:r>
    </w:p>
    <w:p w:rsidR="00737490" w:rsidP="3A232ED9" w:rsidRDefault="00737490" w14:paraId="727D1DBA" w14:textId="77777777">
      <w:pPr>
        <w:spacing w:line="276" w:lineRule="auto"/>
        <w:jc w:val="both"/>
        <w:rPr>
          <w:rFonts w:ascii="Calibri" w:hAnsi="Calibri" w:eastAsia="Calibri" w:cs="Calibri"/>
          <w:color w:val="000000" w:themeColor="text1"/>
          <w:sz w:val="24"/>
          <w:szCs w:val="24"/>
        </w:rPr>
      </w:pPr>
    </w:p>
    <w:p w:rsidR="00737490" w:rsidP="3A232ED9" w:rsidRDefault="00737490" w14:paraId="6CD6E74C" w14:textId="0B7452A3">
      <w:pPr>
        <w:spacing w:line="276" w:lineRule="auto"/>
        <w:jc w:val="both"/>
        <w:rPr>
          <w:rFonts w:ascii="Calibri" w:hAnsi="Calibri" w:eastAsia="Calibri" w:cs="Calibri"/>
          <w:color w:val="000000" w:themeColor="text1"/>
          <w:sz w:val="24"/>
          <w:szCs w:val="24"/>
        </w:rPr>
      </w:pPr>
      <w:r w:rsidRPr="00F35686">
        <w:rPr>
          <w:rFonts w:ascii="Calibri" w:hAnsi="Calibri" w:cs="Calibri"/>
          <w:noProof/>
          <w:lang w:eastAsia="en-GB"/>
        </w:rPr>
        <w:drawing>
          <wp:inline distT="0" distB="0" distL="0" distR="0" wp14:anchorId="0892ECCB" wp14:editId="0792D65B">
            <wp:extent cx="4572000" cy="2743200"/>
            <wp:effectExtent l="0" t="0" r="0" b="0"/>
            <wp:docPr id="195662257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4C9258E6" w:rsidP="3A232ED9" w:rsidRDefault="7C54500E" w14:paraId="7E281461" w14:textId="69E3F66F">
      <w:pPr>
        <w:spacing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22 – Workload and training requirements </w:t>
      </w:r>
    </w:p>
    <w:p w:rsidR="00E353A7" w:rsidP="3A232ED9" w:rsidRDefault="00E353A7" w14:paraId="1A285BCB" w14:textId="77777777">
      <w:pPr>
        <w:pStyle w:val="Heading3"/>
        <w:spacing w:line="276" w:lineRule="auto"/>
        <w:rPr>
          <w:rFonts w:ascii="Calibri" w:hAnsi="Calibri" w:eastAsia="Calibri" w:cs="Calibri"/>
          <w:color w:val="002060"/>
          <w:sz w:val="24"/>
          <w:szCs w:val="24"/>
        </w:rPr>
      </w:pPr>
    </w:p>
    <w:p w:rsidR="4C9258E6" w:rsidP="3A232ED9" w:rsidRDefault="7C54500E" w14:paraId="2ACC1D0C" w14:textId="3C36B772">
      <w:pPr>
        <w:pStyle w:val="Heading3"/>
        <w:spacing w:line="276" w:lineRule="auto"/>
        <w:rPr>
          <w:rFonts w:ascii="Calibri" w:hAnsi="Calibri" w:eastAsia="Calibri" w:cs="Calibri"/>
          <w:color w:val="002060"/>
          <w:sz w:val="24"/>
          <w:szCs w:val="24"/>
        </w:rPr>
      </w:pPr>
      <w:bookmarkStart w:name="_Toc1474818818" w:id="1796732367"/>
      <w:r w:rsidRPr="2FF77C75" w:rsidR="7C54500E">
        <w:rPr>
          <w:rFonts w:ascii="Calibri" w:hAnsi="Calibri" w:eastAsia="Calibri" w:cs="Calibri"/>
          <w:color w:val="002060"/>
          <w:sz w:val="24"/>
          <w:szCs w:val="24"/>
        </w:rPr>
        <w:t>Rota Gaps</w:t>
      </w:r>
      <w:bookmarkEnd w:id="1796732367"/>
      <w:r w:rsidRPr="2FF77C75" w:rsidR="7C54500E">
        <w:rPr>
          <w:rFonts w:ascii="Calibri" w:hAnsi="Calibri" w:eastAsia="Calibri" w:cs="Calibri"/>
          <w:color w:val="002060"/>
          <w:sz w:val="24"/>
          <w:szCs w:val="24"/>
        </w:rPr>
        <w:t xml:space="preserve"> </w:t>
      </w:r>
    </w:p>
    <w:p w:rsidR="4C9258E6" w:rsidP="3A232ED9" w:rsidRDefault="7C54500E" w14:paraId="0C54D776" w14:textId="06CDF0E9">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The presence of rota gaps was strongly linked to higher burnout levels (P&lt;0.05). Among trainees who reported rota gaps had higher proportions of burnout, with only 38% in low burnout, 48% in moderate, and 59% in high burnout. There was a small percentage of trainees in all groups unaware of rota gaps.</w:t>
      </w:r>
    </w:p>
    <w:p w:rsidR="4C9258E6" w:rsidP="3A232ED9" w:rsidRDefault="4C9258E6" w14:paraId="53F4802F" w14:textId="38D84058">
      <w:pPr>
        <w:spacing w:line="276" w:lineRule="auto"/>
        <w:rPr>
          <w:rFonts w:ascii="Calibri" w:hAnsi="Calibri" w:eastAsia="Calibri" w:cs="Calibri"/>
          <w:color w:val="000000" w:themeColor="text1"/>
          <w:sz w:val="24"/>
          <w:szCs w:val="24"/>
        </w:rPr>
      </w:pPr>
    </w:p>
    <w:p w:rsidR="4C9258E6" w:rsidP="3A232ED9" w:rsidRDefault="007519DD" w14:paraId="38B5EC86" w14:textId="20988BE0">
      <w:pPr>
        <w:spacing w:line="276" w:lineRule="auto"/>
        <w:rPr>
          <w:rFonts w:ascii="Calibri" w:hAnsi="Calibri" w:eastAsia="Calibri" w:cs="Calibri"/>
          <w:color w:val="000000" w:themeColor="text1"/>
          <w:sz w:val="24"/>
          <w:szCs w:val="24"/>
        </w:rPr>
      </w:pPr>
      <w:r w:rsidRPr="00F35686">
        <w:rPr>
          <w:rFonts w:ascii="Calibri" w:hAnsi="Calibri" w:cs="Calibri"/>
          <w:noProof/>
          <w:lang w:eastAsia="en-GB"/>
        </w:rPr>
        <w:drawing>
          <wp:inline distT="0" distB="0" distL="0" distR="0" wp14:anchorId="173AC20E" wp14:editId="443356F9">
            <wp:extent cx="5276850" cy="3048000"/>
            <wp:effectExtent l="0" t="0" r="0" b="0"/>
            <wp:docPr id="459432084" name="Chart 1">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4C9258E6" w:rsidP="3A232ED9" w:rsidRDefault="7C54500E" w14:paraId="2132CE04" w14:textId="123A4347">
      <w:pPr>
        <w:spacing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23: Correlation of burnout with rota gaps </w:t>
      </w:r>
    </w:p>
    <w:p w:rsidR="4C9258E6" w:rsidP="2FF77C75" w:rsidRDefault="7C54500E" w14:paraId="0F138D5F" w14:textId="0FBE5C46">
      <w:pPr>
        <w:pStyle w:val="Heading1"/>
        <w:rPr>
          <w:rFonts w:ascii="Calibri" w:hAnsi="Calibri" w:eastAsia="Calibri" w:cs="Calibri"/>
          <w:color w:val="0070C0"/>
          <w:sz w:val="36"/>
          <w:szCs w:val="36"/>
        </w:rPr>
      </w:pPr>
      <w:bookmarkStart w:name="_Toc1580508357" w:id="53559405"/>
      <w:r w:rsidRPr="2FF77C75" w:rsidR="7C54500E">
        <w:rPr>
          <w:sz w:val="36"/>
          <w:szCs w:val="36"/>
        </w:rPr>
        <w:t>Conclusion</w:t>
      </w:r>
      <w:bookmarkEnd w:id="53559405"/>
    </w:p>
    <w:p w:rsidR="4C9258E6" w:rsidP="3A232ED9" w:rsidRDefault="7C54500E" w14:paraId="0EF5C910" w14:textId="1CC609AD">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The results show that burnout is not a single phenomenon but is closely connected with the satisfaction with the place of work, sickness absence, retention, workplace culture and leadership. Although most trainees report moderate burnout, the effects of high burnout are severe, such as less enjoyment, more sickness absence, a greater risk of leaving the specialty, and more exposure to negative behaviours in the workplace. Burnout is not a question of personal health only but also of the sustainability of the workforce. There should be system-wide interventions to enhance workload balance, supportive cultures, and leadership in training units.</w:t>
      </w:r>
    </w:p>
    <w:p w:rsidR="4C9258E6" w:rsidP="3A232ED9" w:rsidRDefault="7C54500E" w14:paraId="0A0EEF8A" w14:textId="6A87C184">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As was cited by the GMC Duties of a Doctor,</w:t>
      </w:r>
      <w:r w:rsidRPr="3A232ED9">
        <w:rPr>
          <w:rFonts w:ascii="Calibri" w:hAnsi="Calibri" w:eastAsia="Calibri" w:cs="Calibri"/>
          <w:color w:val="000000" w:themeColor="text1"/>
          <w:sz w:val="24"/>
          <w:szCs w:val="24"/>
          <w:vertAlign w:val="superscript"/>
        </w:rPr>
        <w:t xml:space="preserve"> </w:t>
      </w:r>
      <w:r w:rsidRPr="3A232ED9">
        <w:rPr>
          <w:rFonts w:ascii="Calibri" w:hAnsi="Calibri" w:eastAsia="Calibri" w:cs="Calibri"/>
          <w:color w:val="000000" w:themeColor="text1"/>
          <w:sz w:val="24"/>
          <w:szCs w:val="24"/>
        </w:rPr>
        <w:t>we should all be working within a supportive working environment</w:t>
      </w:r>
      <w:r w:rsidRPr="3A232ED9">
        <w:rPr>
          <w:rFonts w:ascii="Calibri" w:hAnsi="Calibri" w:eastAsia="Calibri" w:cs="Calibri"/>
          <w:color w:val="000000" w:themeColor="text1"/>
          <w:sz w:val="24"/>
          <w:szCs w:val="24"/>
          <w:vertAlign w:val="superscript"/>
        </w:rPr>
        <w:t>7</w:t>
      </w:r>
      <w:r w:rsidRPr="3A232ED9">
        <w:rPr>
          <w:rFonts w:ascii="Calibri" w:hAnsi="Calibri" w:eastAsia="Calibri" w:cs="Calibri"/>
          <w:color w:val="000000" w:themeColor="text1"/>
          <w:sz w:val="24"/>
          <w:szCs w:val="24"/>
        </w:rPr>
        <w:t>. Factors contributing towards creating a supportive working environment include meeting physical, psychological and self-actualisation needs</w:t>
      </w:r>
      <w:r w:rsidRPr="3A232ED9">
        <w:rPr>
          <w:rFonts w:ascii="Calibri" w:hAnsi="Calibri" w:eastAsia="Calibri" w:cs="Calibri"/>
          <w:color w:val="000000" w:themeColor="text1"/>
          <w:sz w:val="24"/>
          <w:szCs w:val="24"/>
          <w:vertAlign w:val="superscript"/>
        </w:rPr>
        <w:t>4</w:t>
      </w:r>
      <w:r w:rsidRPr="3A232ED9">
        <w:rPr>
          <w:rFonts w:ascii="Calibri" w:hAnsi="Calibri" w:eastAsia="Calibri" w:cs="Calibri"/>
          <w:color w:val="000000" w:themeColor="text1"/>
          <w:sz w:val="24"/>
          <w:szCs w:val="24"/>
        </w:rPr>
        <w:t xml:space="preserve">. There is a necessity to improve working conditions, providing our entire workforce with access to basic facilities, giving opportunities for flexible working conditions and supporting doctors returning to work. We should also consider how we can improve provision of psychological support for our doctors, shifting away from a “blame culture,” and providing support following adverse outcomes. Finally, it is important that </w:t>
      </w:r>
      <w:proofErr w:type="gramStart"/>
      <w:r w:rsidRPr="3A232ED9">
        <w:rPr>
          <w:rFonts w:ascii="Calibri" w:hAnsi="Calibri" w:eastAsia="Calibri" w:cs="Calibri"/>
          <w:color w:val="000000" w:themeColor="text1"/>
          <w:sz w:val="24"/>
          <w:szCs w:val="24"/>
        </w:rPr>
        <w:t>units</w:t>
      </w:r>
      <w:proofErr w:type="gramEnd"/>
      <w:r w:rsidRPr="3A232ED9">
        <w:rPr>
          <w:rFonts w:ascii="Calibri" w:hAnsi="Calibri" w:eastAsia="Calibri" w:cs="Calibri"/>
          <w:color w:val="000000" w:themeColor="text1"/>
          <w:sz w:val="24"/>
          <w:szCs w:val="24"/>
        </w:rPr>
        <w:t xml:space="preserve"> support work-life balance by ensuring that our trainees have sufficient opportunities and protected time for both training and learning withing working hours. </w:t>
      </w:r>
    </w:p>
    <w:p w:rsidR="4C9258E6" w:rsidP="2FF77C75" w:rsidRDefault="7C54500E" w14:paraId="4DE264B5" w14:textId="16945F96">
      <w:pPr>
        <w:pStyle w:val="Heading1"/>
        <w:rPr>
          <w:rFonts w:ascii="Calibri" w:hAnsi="Calibri" w:eastAsia="Calibri" w:cs="Calibri"/>
          <w:color w:val="0070C0"/>
          <w:sz w:val="36"/>
          <w:szCs w:val="36"/>
        </w:rPr>
      </w:pPr>
      <w:bookmarkStart w:name="_Toc2078318413" w:id="404167618"/>
      <w:r w:rsidRPr="2FF77C75" w:rsidR="7C54500E">
        <w:rPr>
          <w:sz w:val="36"/>
          <w:szCs w:val="36"/>
        </w:rPr>
        <w:t>Limitations</w:t>
      </w:r>
      <w:bookmarkEnd w:id="404167618"/>
    </w:p>
    <w:p w:rsidR="4C9258E6" w:rsidP="3A232ED9" w:rsidRDefault="7C54500E" w14:paraId="2746229E" w14:textId="05BE5221">
      <w:pPr>
        <w:spacing w:after="0"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This is the first year that the TEF survey has implemented the Copenhagen Burnout Inventory (CBI) tool. The data will become increasingly meaningful when trends over the years can be analysed.    </w:t>
      </w:r>
    </w:p>
    <w:p w:rsidR="4C9258E6" w:rsidP="2FF77C75" w:rsidRDefault="7C54500E" w14:paraId="6D80A0A6" w14:textId="6580BBC5">
      <w:pPr>
        <w:pStyle w:val="Heading1"/>
        <w:rPr>
          <w:rFonts w:ascii="Calibri" w:hAnsi="Calibri" w:eastAsia="Calibri" w:cs="Calibri"/>
          <w:color w:val="0070C0"/>
          <w:sz w:val="36"/>
          <w:szCs w:val="36"/>
        </w:rPr>
      </w:pPr>
      <w:bookmarkStart w:name="_Toc741730208" w:id="1564205522"/>
      <w:r w:rsidRPr="2FF77C75" w:rsidR="7C54500E">
        <w:rPr>
          <w:sz w:val="36"/>
          <w:szCs w:val="36"/>
        </w:rPr>
        <w:t>Recommendations</w:t>
      </w:r>
      <w:bookmarkEnd w:id="1564205522"/>
    </w:p>
    <w:p w:rsidR="4C9258E6" w:rsidP="3A232ED9" w:rsidRDefault="7C54500E" w14:paraId="5D44B382" w14:textId="169F313E">
      <w:pPr>
        <w:spacing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Burnout is a complex condition which can be triggered by personal factors, as well as factors within the workplace. Trainees may be affected by burnout at different times throughout the course of their training, with each ST level bringing different challenges and demands as well as varying experiences within different units. Therefore, to improve wellbeing and reduce the risk of burnout, national organisations, trusts/health boards and individuals all have a role to play.</w:t>
      </w:r>
    </w:p>
    <w:p w:rsidR="4C9258E6" w:rsidP="3A232ED9" w:rsidRDefault="7C54500E" w14:paraId="622C84D8" w14:textId="0210F8F4">
      <w:pPr>
        <w:pStyle w:val="ListParagraph"/>
        <w:numPr>
          <w:ilvl w:val="0"/>
          <w:numId w:val="3"/>
        </w:numPr>
        <w:spacing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It is important that trainees who request to work less than full time (LTFT) are supported to do so. As the proportion of LTFT working grows, it is crucial that the trainee workforce is expanded to account for the gaps in whole time equivalent (WTE). </w:t>
      </w:r>
    </w:p>
    <w:p w:rsidR="4C9258E6" w:rsidP="3A232ED9" w:rsidRDefault="7C54500E" w14:paraId="0E99E4D4" w14:textId="0BEEA505">
      <w:pPr>
        <w:pStyle w:val="ListParagraph"/>
        <w:numPr>
          <w:ilvl w:val="0"/>
          <w:numId w:val="3"/>
        </w:numPr>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All trainees should have protected time for non-clinical tasks, including exception reporting which can add to the administrative burden. </w:t>
      </w:r>
    </w:p>
    <w:p w:rsidR="4C9258E6" w:rsidP="3A232ED9" w:rsidRDefault="7C54500E" w14:paraId="42AEEA2F" w14:textId="373BA3D7">
      <w:pPr>
        <w:pStyle w:val="ListParagraph"/>
        <w:numPr>
          <w:ilvl w:val="0"/>
          <w:numId w:val="3"/>
        </w:numPr>
        <w:spacing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Trusts should ensure that all doctors have access to adequate rest facilities, during and after a shift. The Association of Anaesthetists have produced a fatigue tool to identify if someone is too tired to drive home; this should be promoted in all units.</w:t>
      </w:r>
    </w:p>
    <w:p w:rsidR="4C9258E6" w:rsidP="3A232ED9" w:rsidRDefault="7C54500E" w14:paraId="53380E21" w14:textId="293AD770">
      <w:pPr>
        <w:pStyle w:val="ListParagraph"/>
        <w:numPr>
          <w:ilvl w:val="0"/>
          <w:numId w:val="3"/>
        </w:numPr>
        <w:spacing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 large proportion of trainees did not feel adequately supervised when working in theatre. Lack of adequate clinical supervision is both a patient safety and training concern; this should be explored in more detail to enable understanding of the situation. All units should have a policy for when a consultant must attend, and all trainees should be made aware of this. </w:t>
      </w:r>
    </w:p>
    <w:p w:rsidR="4C9258E6" w:rsidP="3A232ED9" w:rsidRDefault="7C54500E" w14:paraId="2092E7D7" w14:textId="1FF7B85D">
      <w:pPr>
        <w:pStyle w:val="ListParagraph"/>
        <w:numPr>
          <w:ilvl w:val="0"/>
          <w:numId w:val="3"/>
        </w:numPr>
        <w:spacing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Of those that had been involved in either a serious clinical incident, adverse or untoward event or poor outcome, 21.8% did not feel that they had been well supported by the unit. Each organisation delivering maternity and/or gynaecology services should commit to a programme to prevent and provide early intervention for work-related PTSS in all staff members as set out in the Prevention and Treatment of Work-Related Post-Traumatic Stress Symptoms in the Maternity and Gynaecology Workforce (Good Practice Paper No. 19).</w:t>
      </w:r>
      <w:r w:rsidRPr="3A232ED9">
        <w:rPr>
          <w:rFonts w:ascii="Calibri" w:hAnsi="Calibri" w:eastAsia="Calibri" w:cs="Calibri"/>
          <w:color w:val="000000" w:themeColor="text1"/>
          <w:sz w:val="24"/>
          <w:szCs w:val="24"/>
          <w:vertAlign w:val="superscript"/>
        </w:rPr>
        <w:t>1</w:t>
      </w:r>
    </w:p>
    <w:p w:rsidR="4C9258E6" w:rsidP="3A232ED9" w:rsidRDefault="7C54500E" w14:paraId="290DF8AB" w14:textId="5E9DB9D7">
      <w:pPr>
        <w:pStyle w:val="ListParagraph"/>
        <w:numPr>
          <w:ilvl w:val="0"/>
          <w:numId w:val="3"/>
        </w:numPr>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Trusts need to continue to promote positive workplace behaviours. A positive workplace environment can reduce the risk of defensive practise, high stress, burn-out and sickness. Trusts should work alongside Champions and the RCOG to promote their deanery’s </w:t>
      </w:r>
      <w:hyperlink r:id="rId35">
        <w:r w:rsidRPr="3A232ED9">
          <w:rPr>
            <w:rStyle w:val="Hyperlink"/>
            <w:rFonts w:ascii="Calibri" w:hAnsi="Calibri" w:eastAsia="Calibri" w:cs="Calibri"/>
            <w:sz w:val="24"/>
            <w:szCs w:val="24"/>
          </w:rPr>
          <w:t>regional workplace behaviour champion</w:t>
        </w:r>
      </w:hyperlink>
      <w:r w:rsidRPr="3A232ED9">
        <w:rPr>
          <w:rFonts w:ascii="Calibri" w:hAnsi="Calibri" w:eastAsia="Calibri" w:cs="Calibri"/>
          <w:color w:val="000000" w:themeColor="text1"/>
          <w:sz w:val="24"/>
          <w:szCs w:val="24"/>
        </w:rPr>
        <w:t xml:space="preserve">. </w:t>
      </w:r>
    </w:p>
    <w:p w:rsidR="4C9258E6" w:rsidP="3A232ED9" w:rsidRDefault="7C54500E" w14:paraId="603D12AC" w14:textId="3EE9C539">
      <w:pPr>
        <w:pStyle w:val="ListParagraph"/>
        <w:numPr>
          <w:ilvl w:val="0"/>
          <w:numId w:val="3"/>
        </w:numPr>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All trainees should be supported to develop their non-technical skills; this is important for providing safe patient care and improving behaviours in the </w:t>
      </w:r>
      <w:r w:rsidRPr="3A232ED9">
        <w:rPr>
          <w:rFonts w:ascii="Calibri" w:hAnsi="Calibri" w:eastAsia="Calibri" w:cs="Calibri"/>
          <w:color w:val="000000" w:themeColor="text1"/>
          <w:sz w:val="24"/>
          <w:szCs w:val="24"/>
        </w:rPr>
        <w:lastRenderedPageBreak/>
        <w:t>workplace. The RCOG could consider implementing a course that supports the development of these skills.</w:t>
      </w:r>
    </w:p>
    <w:p w:rsidR="4C9258E6" w:rsidP="3A232ED9" w:rsidRDefault="7C54500E" w14:paraId="40B4788E" w14:textId="69018839">
      <w:pPr>
        <w:pStyle w:val="ListParagraph"/>
        <w:numPr>
          <w:ilvl w:val="0"/>
          <w:numId w:val="3"/>
        </w:numPr>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All doctors should be supported to reduce their risk of burnout; individuals need to be empowered to take steps that support their own wellbeing and employers need to take a preventative approach to burnout by educating the workforce on burnout symptoms. Providing support to doctors identified as being at moderate risk of burnout is essential to prevent potential progression to a high-risk state.</w:t>
      </w:r>
      <w:r w:rsidRPr="3A232ED9">
        <w:rPr>
          <w:rFonts w:ascii="Calibri" w:hAnsi="Calibri" w:eastAsia="Calibri" w:cs="Calibri"/>
          <w:i/>
          <w:iCs/>
          <w:color w:val="000000" w:themeColor="text1"/>
          <w:sz w:val="24"/>
          <w:szCs w:val="24"/>
        </w:rPr>
        <w:t xml:space="preserve"> </w:t>
      </w:r>
    </w:p>
    <w:p w:rsidR="4C9258E6" w:rsidP="3A232ED9" w:rsidRDefault="7C54500E" w14:paraId="75EABD1E" w14:textId="22A5FB28">
      <w:pPr>
        <w:pStyle w:val="Heading1"/>
        <w:spacing w:before="360" w:after="80" w:line="276" w:lineRule="auto"/>
        <w:rPr>
          <w:rFonts w:ascii="Calibri" w:hAnsi="Calibri" w:eastAsia="Calibri" w:cs="Calibri"/>
          <w:color w:val="0070C0"/>
          <w:sz w:val="36"/>
          <w:szCs w:val="36"/>
        </w:rPr>
      </w:pPr>
      <w:bookmarkStart w:name="_Toc34980071" w:id="649996275"/>
      <w:r w:rsidRPr="2FF77C75" w:rsidR="7C54500E">
        <w:rPr>
          <w:rStyle w:val="Heading1Char"/>
          <w:sz w:val="36"/>
          <w:szCs w:val="36"/>
        </w:rPr>
        <w:t>References</w:t>
      </w:r>
      <w:bookmarkEnd w:id="649996275"/>
      <w:r w:rsidRPr="2FF77C75" w:rsidR="7C54500E">
        <w:rPr>
          <w:rFonts w:ascii="Calibri" w:hAnsi="Calibri" w:eastAsia="Calibri" w:cs="Calibri"/>
          <w:color w:val="0070C0"/>
          <w:sz w:val="36"/>
          <w:szCs w:val="36"/>
        </w:rPr>
        <w:t xml:space="preserve"> </w:t>
      </w:r>
    </w:p>
    <w:p w:rsidR="4C9258E6" w:rsidP="3A232ED9" w:rsidRDefault="7C54500E" w14:paraId="780AF6AA" w14:textId="0AB20047">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GMC National Training Survey 2025 - </w:t>
      </w:r>
      <w:hyperlink r:id="rId36">
        <w:r w:rsidRPr="3A232ED9">
          <w:rPr>
            <w:rStyle w:val="Hyperlink"/>
            <w:rFonts w:ascii="Calibri" w:hAnsi="Calibri" w:eastAsia="Calibri" w:cs="Calibri"/>
            <w:i/>
            <w:iCs/>
            <w:sz w:val="24"/>
            <w:szCs w:val="24"/>
          </w:rPr>
          <w:t>https://www.gmc-uk.org/-/media/documents/national-training-survey-2025-results-report-111657596.pdf</w:t>
        </w:r>
      </w:hyperlink>
      <w:r w:rsidRPr="3A232ED9">
        <w:rPr>
          <w:rFonts w:ascii="Calibri" w:hAnsi="Calibri" w:eastAsia="Calibri" w:cs="Calibri"/>
          <w:i/>
          <w:iCs/>
          <w:color w:val="000000" w:themeColor="text1"/>
          <w:sz w:val="24"/>
          <w:szCs w:val="24"/>
        </w:rPr>
        <w:t>. Accessed September 2nd</w:t>
      </w:r>
      <w:proofErr w:type="gramStart"/>
      <w:r w:rsidRPr="3A232ED9">
        <w:rPr>
          <w:rFonts w:ascii="Calibri" w:hAnsi="Calibri" w:eastAsia="Calibri" w:cs="Calibri"/>
          <w:i/>
          <w:iCs/>
          <w:color w:val="000000" w:themeColor="text1"/>
          <w:sz w:val="24"/>
          <w:szCs w:val="24"/>
        </w:rPr>
        <w:t xml:space="preserve"> 2025</w:t>
      </w:r>
      <w:proofErr w:type="gramEnd"/>
      <w:r w:rsidRPr="3A232ED9">
        <w:rPr>
          <w:rFonts w:ascii="Calibri" w:hAnsi="Calibri" w:eastAsia="Calibri" w:cs="Calibri"/>
          <w:i/>
          <w:iCs/>
          <w:color w:val="000000" w:themeColor="text1"/>
          <w:sz w:val="24"/>
          <w:szCs w:val="24"/>
        </w:rPr>
        <w:t xml:space="preserve"> </w:t>
      </w:r>
    </w:p>
    <w:p w:rsidR="4C9258E6" w:rsidP="3A232ED9" w:rsidRDefault="7C54500E" w14:paraId="549A1723" w14:textId="720820A6">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Bourne T, Shah H, Falconieri N, et al. Burnout, well-being and defensive medical practice among obstetricians and gynaecologists in the UK: Cross-sectional survey study. BMJ Open. 2019. </w:t>
      </w:r>
    </w:p>
    <w:p w:rsidR="4C9258E6" w:rsidP="3A232ED9" w:rsidRDefault="7C54500E" w14:paraId="721D1488" w14:textId="54E8F291">
      <w:pPr>
        <w:pStyle w:val="ListParagraph"/>
        <w:numPr>
          <w:ilvl w:val="0"/>
          <w:numId w:val="2"/>
        </w:numPr>
        <w:spacing w:after="0" w:line="257" w:lineRule="auto"/>
        <w:rPr>
          <w:rFonts w:ascii="Calibri" w:hAnsi="Calibri" w:eastAsia="Calibri" w:cs="Calibri"/>
          <w:color w:val="1C1D1E"/>
          <w:sz w:val="24"/>
          <w:szCs w:val="24"/>
        </w:rPr>
      </w:pPr>
      <w:r w:rsidRPr="3A232ED9">
        <w:rPr>
          <w:rStyle w:val="author"/>
          <w:rFonts w:ascii="Calibri" w:hAnsi="Calibri" w:eastAsia="Calibri" w:cs="Calibri"/>
          <w:i/>
          <w:iCs/>
          <w:color w:val="1C1D1E"/>
        </w:rPr>
        <w:t>Smith RP</w:t>
      </w:r>
      <w:r w:rsidRPr="3A232ED9">
        <w:rPr>
          <w:rFonts w:ascii="Calibri" w:hAnsi="Calibri" w:eastAsia="Calibri" w:cs="Calibri"/>
          <w:i/>
          <w:iCs/>
          <w:color w:val="1C1D1E"/>
          <w:sz w:val="24"/>
          <w:szCs w:val="24"/>
        </w:rPr>
        <w:t>. </w:t>
      </w:r>
      <w:r w:rsidRPr="3A232ED9">
        <w:rPr>
          <w:rStyle w:val="articletitle"/>
          <w:rFonts w:ascii="Calibri" w:hAnsi="Calibri" w:eastAsia="Calibri" w:cs="Calibri"/>
          <w:i/>
          <w:iCs/>
          <w:color w:val="1C1D1E"/>
        </w:rPr>
        <w:t>Burnout in obstetricians and gynaecologists</w:t>
      </w:r>
      <w:r w:rsidRPr="3A232ED9">
        <w:rPr>
          <w:rFonts w:ascii="Calibri" w:hAnsi="Calibri" w:eastAsia="Calibri" w:cs="Calibri"/>
          <w:i/>
          <w:iCs/>
          <w:color w:val="1C1D1E"/>
          <w:sz w:val="24"/>
          <w:szCs w:val="24"/>
        </w:rPr>
        <w:t>. </w:t>
      </w:r>
      <w:proofErr w:type="spellStart"/>
      <w:r w:rsidRPr="3A232ED9">
        <w:rPr>
          <w:rFonts w:ascii="Calibri" w:hAnsi="Calibri" w:eastAsia="Calibri" w:cs="Calibri"/>
          <w:i/>
          <w:iCs/>
          <w:color w:val="1C1D1E"/>
          <w:sz w:val="24"/>
          <w:szCs w:val="24"/>
        </w:rPr>
        <w:t>Obstet</w:t>
      </w:r>
      <w:proofErr w:type="spellEnd"/>
      <w:r w:rsidRPr="3A232ED9">
        <w:rPr>
          <w:rFonts w:ascii="Calibri" w:hAnsi="Calibri" w:eastAsia="Calibri" w:cs="Calibri"/>
          <w:i/>
          <w:iCs/>
          <w:color w:val="1C1D1E"/>
          <w:sz w:val="24"/>
          <w:szCs w:val="24"/>
        </w:rPr>
        <w:t xml:space="preserve"> </w:t>
      </w:r>
      <w:proofErr w:type="spellStart"/>
      <w:r w:rsidRPr="3A232ED9">
        <w:rPr>
          <w:rFonts w:ascii="Calibri" w:hAnsi="Calibri" w:eastAsia="Calibri" w:cs="Calibri"/>
          <w:i/>
          <w:iCs/>
          <w:color w:val="1C1D1E"/>
          <w:sz w:val="24"/>
          <w:szCs w:val="24"/>
        </w:rPr>
        <w:t>Gynecol</w:t>
      </w:r>
      <w:proofErr w:type="spellEnd"/>
      <w:r w:rsidRPr="3A232ED9">
        <w:rPr>
          <w:rFonts w:ascii="Calibri" w:hAnsi="Calibri" w:eastAsia="Calibri" w:cs="Calibri"/>
          <w:i/>
          <w:iCs/>
          <w:color w:val="1C1D1E"/>
          <w:sz w:val="24"/>
          <w:szCs w:val="24"/>
        </w:rPr>
        <w:t xml:space="preserve"> Clin North Am </w:t>
      </w:r>
      <w:r w:rsidRPr="3A232ED9">
        <w:rPr>
          <w:rStyle w:val="pubyear"/>
          <w:rFonts w:ascii="Calibri" w:hAnsi="Calibri" w:eastAsia="Calibri" w:cs="Calibri"/>
          <w:i/>
          <w:iCs/>
          <w:color w:val="1C1D1E"/>
        </w:rPr>
        <w:t>2017</w:t>
      </w:r>
      <w:r w:rsidRPr="3A232ED9">
        <w:rPr>
          <w:rFonts w:ascii="Calibri" w:hAnsi="Calibri" w:eastAsia="Calibri" w:cs="Calibri"/>
          <w:i/>
          <w:iCs/>
          <w:color w:val="1C1D1E"/>
          <w:sz w:val="24"/>
          <w:szCs w:val="24"/>
        </w:rPr>
        <w:t>; </w:t>
      </w:r>
      <w:r w:rsidRPr="3A232ED9">
        <w:rPr>
          <w:rStyle w:val="vol"/>
          <w:rFonts w:ascii="Calibri" w:hAnsi="Calibri" w:eastAsia="Calibri" w:cs="Calibri"/>
          <w:i/>
          <w:iCs/>
          <w:color w:val="1C1D1E"/>
        </w:rPr>
        <w:t>44</w:t>
      </w:r>
      <w:r w:rsidRPr="3A232ED9">
        <w:rPr>
          <w:rFonts w:ascii="Calibri" w:hAnsi="Calibri" w:eastAsia="Calibri" w:cs="Calibri"/>
          <w:i/>
          <w:iCs/>
          <w:color w:val="1C1D1E"/>
          <w:sz w:val="24"/>
          <w:szCs w:val="24"/>
        </w:rPr>
        <w:t>: </w:t>
      </w:r>
      <w:r w:rsidRPr="3A232ED9">
        <w:rPr>
          <w:rStyle w:val="pagefirst"/>
          <w:rFonts w:ascii="Calibri" w:hAnsi="Calibri" w:eastAsia="Calibri" w:cs="Calibri"/>
          <w:i/>
          <w:iCs/>
          <w:color w:val="1C1D1E"/>
        </w:rPr>
        <w:t>297</w:t>
      </w:r>
      <w:r w:rsidRPr="3A232ED9">
        <w:rPr>
          <w:rFonts w:ascii="Calibri" w:hAnsi="Calibri" w:eastAsia="Calibri" w:cs="Calibri"/>
          <w:i/>
          <w:iCs/>
          <w:color w:val="1C1D1E"/>
          <w:sz w:val="24"/>
          <w:szCs w:val="24"/>
        </w:rPr>
        <w:t>–</w:t>
      </w:r>
      <w:r w:rsidRPr="3A232ED9">
        <w:rPr>
          <w:rStyle w:val="pagelast"/>
          <w:rFonts w:ascii="Calibri" w:hAnsi="Calibri" w:eastAsia="Calibri" w:cs="Calibri"/>
          <w:i/>
          <w:iCs/>
          <w:color w:val="1C1D1E"/>
        </w:rPr>
        <w:t>310</w:t>
      </w:r>
      <w:r w:rsidRPr="3A232ED9">
        <w:rPr>
          <w:rFonts w:ascii="Calibri" w:hAnsi="Calibri" w:eastAsia="Calibri" w:cs="Calibri"/>
          <w:i/>
          <w:iCs/>
          <w:color w:val="1C1D1E"/>
          <w:sz w:val="24"/>
          <w:szCs w:val="24"/>
        </w:rPr>
        <w:t>.</w:t>
      </w:r>
    </w:p>
    <w:p w:rsidR="4C9258E6" w:rsidP="3A232ED9" w:rsidRDefault="7C54500E" w14:paraId="35B9079D" w14:textId="7DA73F29">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RCOG Workforce Report 2022 - </w:t>
      </w:r>
      <w:hyperlink r:id="rId37">
        <w:r w:rsidRPr="3A232ED9">
          <w:rPr>
            <w:rStyle w:val="Hyperlink"/>
            <w:rFonts w:ascii="Calibri" w:hAnsi="Calibri" w:eastAsia="Calibri" w:cs="Calibri"/>
            <w:sz w:val="24"/>
            <w:szCs w:val="24"/>
          </w:rPr>
          <w:t>https://www.rcog.org.uk/media/kz0mhttl/workforce-report-2022.pdf</w:t>
        </w:r>
      </w:hyperlink>
      <w:r w:rsidRPr="3A232ED9">
        <w:rPr>
          <w:rFonts w:ascii="Calibri" w:hAnsi="Calibri" w:eastAsia="Calibri" w:cs="Calibri"/>
          <w:color w:val="000000" w:themeColor="text1"/>
          <w:sz w:val="24"/>
          <w:szCs w:val="24"/>
        </w:rPr>
        <w:t xml:space="preserve"> Accessed September 2nd</w:t>
      </w:r>
      <w:proofErr w:type="gramStart"/>
      <w:r w:rsidRPr="3A232ED9">
        <w:rPr>
          <w:rFonts w:ascii="Calibri" w:hAnsi="Calibri" w:eastAsia="Calibri" w:cs="Calibri"/>
          <w:color w:val="000000" w:themeColor="text1"/>
          <w:sz w:val="24"/>
          <w:szCs w:val="24"/>
        </w:rPr>
        <w:t xml:space="preserve"> 2025</w:t>
      </w:r>
      <w:proofErr w:type="gramEnd"/>
      <w:r w:rsidRPr="3A232ED9">
        <w:rPr>
          <w:rFonts w:ascii="Calibri" w:hAnsi="Calibri" w:eastAsia="Calibri" w:cs="Calibri"/>
          <w:color w:val="000000" w:themeColor="text1"/>
          <w:sz w:val="24"/>
          <w:szCs w:val="24"/>
        </w:rPr>
        <w:t xml:space="preserve"> </w:t>
      </w:r>
    </w:p>
    <w:p w:rsidR="4C9258E6" w:rsidP="3A232ED9" w:rsidRDefault="7C54500E" w14:paraId="2D6F63B0" w14:textId="0E682ECB">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GMC Workforce Report 2024 – The state of medical education and practice in the UK - </w:t>
      </w:r>
      <w:hyperlink r:id="rId38">
        <w:r w:rsidRPr="3A232ED9">
          <w:rPr>
            <w:rStyle w:val="Hyperlink"/>
            <w:rFonts w:ascii="Calibri" w:hAnsi="Calibri" w:eastAsia="Calibri" w:cs="Calibri"/>
            <w:sz w:val="24"/>
            <w:szCs w:val="24"/>
          </w:rPr>
          <w:t>https://www.gmc-uk.org/-/media/documents/somep-workforce-report-2024-full-report_pdf-109169408.pdf</w:t>
        </w:r>
      </w:hyperlink>
      <w:r w:rsidRPr="3A232ED9">
        <w:rPr>
          <w:rFonts w:ascii="Calibri" w:hAnsi="Calibri" w:eastAsia="Calibri" w:cs="Calibri"/>
          <w:color w:val="000000" w:themeColor="text1"/>
          <w:sz w:val="24"/>
          <w:szCs w:val="24"/>
        </w:rPr>
        <w:t xml:space="preserve"> Accessed September 17th 2025 </w:t>
      </w:r>
    </w:p>
    <w:p w:rsidR="4C9258E6" w:rsidP="3A232ED9" w:rsidRDefault="7C54500E" w14:paraId="3F0ED786" w14:textId="3E8909BF">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Copenhagen Burnout Inventory - </w:t>
      </w:r>
      <w:hyperlink r:id="rId39">
        <w:r w:rsidRPr="3A232ED9">
          <w:rPr>
            <w:rStyle w:val="Hyperlink"/>
            <w:rFonts w:ascii="Calibri" w:hAnsi="Calibri" w:eastAsia="Calibri" w:cs="Calibri"/>
            <w:sz w:val="24"/>
            <w:szCs w:val="24"/>
          </w:rPr>
          <w:t>https://www.carepatron.com/files/copenhagen-burnout-inventory.pdf</w:t>
        </w:r>
      </w:hyperlink>
      <w:r w:rsidRPr="3A232ED9">
        <w:rPr>
          <w:rFonts w:ascii="Calibri" w:hAnsi="Calibri" w:eastAsia="Calibri" w:cs="Calibri"/>
          <w:color w:val="000000" w:themeColor="text1"/>
          <w:sz w:val="24"/>
          <w:szCs w:val="24"/>
        </w:rPr>
        <w:t xml:space="preserve"> Accessed 31st August 2025</w:t>
      </w:r>
    </w:p>
    <w:p w:rsidR="4C9258E6" w:rsidP="3A232ED9" w:rsidRDefault="7C54500E" w14:paraId="7C71E1AE" w14:textId="1417EB55">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General Medical Council. The duties of medical </w:t>
      </w:r>
      <w:proofErr w:type="spellStart"/>
      <w:r w:rsidRPr="3A232ED9">
        <w:rPr>
          <w:rFonts w:ascii="Calibri" w:hAnsi="Calibri" w:eastAsia="Calibri" w:cs="Calibri"/>
          <w:color w:val="000000" w:themeColor="text1"/>
          <w:sz w:val="24"/>
          <w:szCs w:val="24"/>
        </w:rPr>
        <w:t>practioners</w:t>
      </w:r>
      <w:proofErr w:type="spellEnd"/>
      <w:r w:rsidRPr="3A232ED9">
        <w:rPr>
          <w:rFonts w:ascii="Calibri" w:hAnsi="Calibri" w:eastAsia="Calibri" w:cs="Calibri"/>
          <w:color w:val="000000" w:themeColor="text1"/>
          <w:sz w:val="24"/>
          <w:szCs w:val="24"/>
        </w:rPr>
        <w:t xml:space="preserve"> registered with the GMC - </w:t>
      </w:r>
      <w:hyperlink r:id="rId40">
        <w:r w:rsidRPr="3A232ED9">
          <w:rPr>
            <w:rStyle w:val="Hyperlink"/>
            <w:rFonts w:ascii="Calibri" w:hAnsi="Calibri" w:eastAsia="Calibri" w:cs="Calibri"/>
            <w:sz w:val="24"/>
            <w:szCs w:val="24"/>
          </w:rPr>
          <w:t>https://www.gmc-uk.org/professional-standards/the-professional-standards/good-medical-practice/the-duties-of-medical-professionals-registered-with-the-gmc Accessed 17th September 2025</w:t>
        </w:r>
      </w:hyperlink>
    </w:p>
    <w:p w:rsidR="4C9258E6" w:rsidP="3A232ED9" w:rsidRDefault="7C54500E" w14:paraId="54556A86" w14:textId="13C40CBE">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BMA Exception Reporting for Resident Doctors in England  </w:t>
      </w:r>
      <w:hyperlink r:id="rId41">
        <w:r w:rsidRPr="3A232ED9">
          <w:rPr>
            <w:rStyle w:val="Hyperlink"/>
            <w:rFonts w:ascii="Calibri" w:hAnsi="Calibri" w:eastAsia="Calibri" w:cs="Calibri"/>
            <w:sz w:val="24"/>
            <w:szCs w:val="24"/>
          </w:rPr>
          <w:t>https://www.bma.org.uk/pay-and-contracts/working-hours/work-schedule/exception-reporting-for-resident-doctors Accessed 17th September 2025</w:t>
        </w:r>
      </w:hyperlink>
    </w:p>
    <w:p w:rsidR="4C9258E6" w:rsidP="3A232ED9" w:rsidRDefault="7C54500E" w14:paraId="28D0327C" w14:textId="39CBF893">
      <w:pPr>
        <w:pStyle w:val="ListParagraph"/>
        <w:numPr>
          <w:ilvl w:val="0"/>
          <w:numId w:val="2"/>
        </w:numPr>
        <w:spacing w:after="0"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Rota Monitoring for Resident doctors in Northern Ireland, Scotland and Wales </w:t>
      </w:r>
      <w:hyperlink r:id="rId42">
        <w:r w:rsidRPr="3A232ED9">
          <w:rPr>
            <w:rStyle w:val="Hyperlink"/>
            <w:rFonts w:ascii="Calibri" w:hAnsi="Calibri" w:eastAsia="Calibri" w:cs="Calibri"/>
            <w:sz w:val="24"/>
            <w:szCs w:val="24"/>
          </w:rPr>
          <w:t>https://www.bma.org.uk/pay-and-contracts/working-hours/work-schedule/rota-monitoring-for-resident-doctors-in-northern-ireland-scotland-and-wales Accessed 17th September 2025</w:t>
        </w:r>
      </w:hyperlink>
    </w:p>
    <w:p w:rsidR="4C9258E6" w:rsidP="3A232ED9" w:rsidRDefault="7C54500E" w14:paraId="503B6A7F" w14:textId="347390FD">
      <w:pPr>
        <w:pStyle w:val="ListParagraph"/>
        <w:numPr>
          <w:ilvl w:val="0"/>
          <w:numId w:val="2"/>
        </w:numPr>
        <w:spacing w:after="0" w:line="257" w:lineRule="auto"/>
        <w:rPr>
          <w:rFonts w:ascii="Calibri" w:hAnsi="Calibri" w:eastAsia="Calibri" w:cs="Calibri"/>
          <w:color w:val="333333"/>
          <w:sz w:val="24"/>
          <w:szCs w:val="24"/>
        </w:rPr>
      </w:pPr>
      <w:r w:rsidRPr="3A232ED9">
        <w:rPr>
          <w:rFonts w:ascii="Calibri" w:hAnsi="Calibri" w:eastAsia="Calibri" w:cs="Calibri"/>
          <w:color w:val="333333"/>
          <w:sz w:val="24"/>
          <w:szCs w:val="24"/>
        </w:rPr>
        <w:t>Katz D, Blasius K, Isaak R</w:t>
      </w:r>
      <w:r w:rsidRPr="3A232ED9">
        <w:rPr>
          <w:rFonts w:ascii="Calibri" w:hAnsi="Calibri" w:eastAsia="Calibri" w:cs="Calibri"/>
          <w:i/>
          <w:iCs/>
          <w:color w:val="333333"/>
          <w:sz w:val="24"/>
          <w:szCs w:val="24"/>
        </w:rPr>
        <w:t>, et al</w:t>
      </w:r>
      <w:r w:rsidRPr="3A232ED9">
        <w:rPr>
          <w:rFonts w:ascii="Calibri" w:hAnsi="Calibri" w:eastAsia="Calibri" w:cs="Calibri"/>
          <w:color w:val="333333"/>
          <w:sz w:val="24"/>
          <w:szCs w:val="24"/>
        </w:rPr>
        <w:t xml:space="preserve"> Exposure to incivility hinders clinical performance in a simulated operative crisis </w:t>
      </w:r>
      <w:r w:rsidRPr="3A232ED9">
        <w:rPr>
          <w:rFonts w:ascii="Calibri" w:hAnsi="Calibri" w:eastAsia="Calibri" w:cs="Calibri"/>
          <w:i/>
          <w:iCs/>
          <w:color w:val="333333"/>
          <w:sz w:val="24"/>
          <w:szCs w:val="24"/>
        </w:rPr>
        <w:t>BMJ Quality &amp; Safety </w:t>
      </w:r>
      <w:r w:rsidRPr="3A232ED9">
        <w:rPr>
          <w:rFonts w:ascii="Calibri" w:hAnsi="Calibri" w:eastAsia="Calibri" w:cs="Calibri"/>
          <w:color w:val="333333"/>
          <w:sz w:val="24"/>
          <w:szCs w:val="24"/>
        </w:rPr>
        <w:t xml:space="preserve">2019;28:750-757. </w:t>
      </w:r>
      <w:hyperlink r:id="rId43">
        <w:r w:rsidRPr="3A232ED9">
          <w:rPr>
            <w:rStyle w:val="Hyperlink"/>
            <w:rFonts w:ascii="Calibri" w:hAnsi="Calibri" w:eastAsia="Calibri" w:cs="Calibri"/>
            <w:sz w:val="24"/>
            <w:szCs w:val="24"/>
          </w:rPr>
          <w:t>https://qualitysafety.bmj.com/content/28/9/750.citation-tools</w:t>
        </w:r>
      </w:hyperlink>
      <w:r w:rsidRPr="3A232ED9">
        <w:rPr>
          <w:rFonts w:ascii="Calibri" w:hAnsi="Calibri" w:eastAsia="Calibri" w:cs="Calibri"/>
          <w:color w:val="333333"/>
          <w:sz w:val="24"/>
          <w:szCs w:val="24"/>
        </w:rPr>
        <w:t>. Accessed 10</w:t>
      </w:r>
      <w:r w:rsidRPr="3A232ED9">
        <w:rPr>
          <w:rFonts w:ascii="Calibri" w:hAnsi="Calibri" w:eastAsia="Calibri" w:cs="Calibri"/>
          <w:color w:val="333333"/>
          <w:sz w:val="24"/>
          <w:szCs w:val="24"/>
          <w:vertAlign w:val="superscript"/>
        </w:rPr>
        <w:t>th</w:t>
      </w:r>
      <w:r w:rsidRPr="3A232ED9">
        <w:rPr>
          <w:rFonts w:ascii="Calibri" w:hAnsi="Calibri" w:eastAsia="Calibri" w:cs="Calibri"/>
          <w:color w:val="333333"/>
          <w:sz w:val="24"/>
          <w:szCs w:val="24"/>
        </w:rPr>
        <w:t xml:space="preserve"> September 2025.</w:t>
      </w:r>
    </w:p>
    <w:p w:rsidR="4C9258E6" w:rsidP="3A232ED9" w:rsidRDefault="7C54500E" w14:paraId="37ECB669" w14:textId="4ED65D25">
      <w:pPr>
        <w:pStyle w:val="ListParagraph"/>
        <w:numPr>
          <w:ilvl w:val="0"/>
          <w:numId w:val="2"/>
        </w:numPr>
        <w:spacing w:after="0" w:line="257" w:lineRule="auto"/>
        <w:rPr>
          <w:rFonts w:ascii="Calibri" w:hAnsi="Calibri" w:eastAsia="Calibri" w:cs="Calibri"/>
          <w:color w:val="333333"/>
          <w:sz w:val="24"/>
          <w:szCs w:val="24"/>
        </w:rPr>
      </w:pPr>
      <w:proofErr w:type="spellStart"/>
      <w:r w:rsidRPr="3A232ED9">
        <w:rPr>
          <w:rFonts w:ascii="Calibri" w:hAnsi="Calibri" w:eastAsia="Calibri" w:cs="Calibri"/>
          <w:color w:val="333333"/>
          <w:sz w:val="24"/>
          <w:szCs w:val="24"/>
        </w:rPr>
        <w:t>Cheethan</w:t>
      </w:r>
      <w:proofErr w:type="spellEnd"/>
      <w:r w:rsidRPr="3A232ED9">
        <w:rPr>
          <w:rFonts w:ascii="Calibri" w:hAnsi="Calibri" w:eastAsia="Calibri" w:cs="Calibri"/>
          <w:color w:val="333333"/>
          <w:sz w:val="24"/>
          <w:szCs w:val="24"/>
        </w:rPr>
        <w:t xml:space="preserve"> L and Turner, c. Incivility and the clinical learner. Future Healthcare Journal 2020 June;7: 109 -111. </w:t>
      </w:r>
      <w:hyperlink r:id="rId44">
        <w:r w:rsidRPr="3A232ED9">
          <w:rPr>
            <w:rStyle w:val="Hyperlink"/>
            <w:rFonts w:ascii="Calibri" w:hAnsi="Calibri" w:eastAsia="Calibri" w:cs="Calibri"/>
            <w:sz w:val="24"/>
            <w:szCs w:val="24"/>
          </w:rPr>
          <w:t>https://pmc.ncbi.nlm.nih.gov/articles/PMC7296586/</w:t>
        </w:r>
      </w:hyperlink>
      <w:r w:rsidRPr="3A232ED9">
        <w:rPr>
          <w:rFonts w:ascii="Calibri" w:hAnsi="Calibri" w:eastAsia="Calibri" w:cs="Calibri"/>
          <w:color w:val="333333"/>
          <w:sz w:val="24"/>
          <w:szCs w:val="24"/>
        </w:rPr>
        <w:t xml:space="preserve">  Accessed 10</w:t>
      </w:r>
      <w:r w:rsidRPr="3A232ED9">
        <w:rPr>
          <w:rFonts w:ascii="Calibri" w:hAnsi="Calibri" w:eastAsia="Calibri" w:cs="Calibri"/>
          <w:color w:val="333333"/>
          <w:sz w:val="24"/>
          <w:szCs w:val="24"/>
          <w:vertAlign w:val="superscript"/>
        </w:rPr>
        <w:t>th</w:t>
      </w:r>
      <w:r w:rsidRPr="3A232ED9">
        <w:rPr>
          <w:rFonts w:ascii="Calibri" w:hAnsi="Calibri" w:eastAsia="Calibri" w:cs="Calibri"/>
          <w:color w:val="333333"/>
          <w:sz w:val="24"/>
          <w:szCs w:val="24"/>
        </w:rPr>
        <w:t xml:space="preserve"> September 2025</w:t>
      </w:r>
    </w:p>
    <w:p w:rsidR="4C9258E6" w:rsidP="3A232ED9" w:rsidRDefault="4C9258E6" w14:paraId="0D02B09F" w14:textId="4AFF5D02">
      <w:pPr>
        <w:spacing w:line="257" w:lineRule="auto"/>
        <w:rPr>
          <w:rFonts w:ascii="Aptos" w:hAnsi="Aptos" w:eastAsia="Aptos" w:cs="Aptos"/>
          <w:color w:val="000000" w:themeColor="text1"/>
          <w:sz w:val="24"/>
          <w:szCs w:val="24"/>
        </w:rPr>
      </w:pPr>
    </w:p>
    <w:p w:rsidR="4C9258E6" w:rsidP="2FF77C75" w:rsidRDefault="7C54500E" w14:paraId="5A87774E" w14:textId="4B56C461">
      <w:pPr>
        <w:pStyle w:val="Heading1"/>
        <w:rPr>
          <w:rFonts w:ascii="Calibri" w:hAnsi="Calibri" w:eastAsia="Calibri" w:cs="Calibri"/>
          <w:color w:val="0070C0"/>
          <w:sz w:val="36"/>
          <w:szCs w:val="36"/>
        </w:rPr>
      </w:pPr>
      <w:bookmarkStart w:name="_Toc1658025101" w:id="1432511266"/>
      <w:r w:rsidRPr="2FF77C75" w:rsidR="7C54500E">
        <w:rPr>
          <w:sz w:val="36"/>
          <w:szCs w:val="36"/>
        </w:rPr>
        <w:t>Appendix A</w:t>
      </w:r>
      <w:bookmarkEnd w:id="1432511266"/>
    </w:p>
    <w:p w:rsidR="4C9258E6" w:rsidP="3A232ED9" w:rsidRDefault="7C54500E" w14:paraId="00C1E5E2" w14:textId="7EFDBF66">
      <w:pPr>
        <w:spacing w:line="276"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below tables show additional burnout risk associations. </w:t>
      </w:r>
    </w:p>
    <w:p w:rsidR="4C9258E6" w:rsidP="3A232ED9" w:rsidRDefault="7C54500E" w14:paraId="75711536" w14:textId="53193222">
      <w:pPr>
        <w:pStyle w:val="Heading3"/>
        <w:spacing w:line="276" w:lineRule="auto"/>
        <w:rPr>
          <w:rFonts w:ascii="Calibri" w:hAnsi="Calibri" w:eastAsia="Calibri" w:cs="Calibri"/>
          <w:color w:val="002060"/>
          <w:sz w:val="24"/>
          <w:szCs w:val="24"/>
        </w:rPr>
      </w:pPr>
      <w:bookmarkStart w:name="_Toc151104382" w:id="1922882910"/>
      <w:r w:rsidRPr="2FF77C75" w:rsidR="7C54500E">
        <w:rPr>
          <w:rFonts w:ascii="Calibri" w:hAnsi="Calibri" w:eastAsia="Calibri" w:cs="Calibri"/>
          <w:color w:val="002060"/>
          <w:sz w:val="24"/>
          <w:szCs w:val="24"/>
        </w:rPr>
        <w:t>Placement Recommendation 23.1.2</w:t>
      </w:r>
      <w:bookmarkEnd w:id="1922882910"/>
    </w:p>
    <w:p w:rsidR="4C9258E6" w:rsidP="3A232ED9" w:rsidRDefault="7C54500E" w14:paraId="449C0ECC" w14:textId="093278B2">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Burnout levels had a strong correlation with the likelihood of trainees to recommend their placement (chi-square &lt;0.001). 85% of trainees with low burn out levels either agreed or strongly agreed that they would recommend their placements compared to 68% of moderate burnout levels and only 49% of trainees with high burnout levels. </w:t>
      </w:r>
    </w:p>
    <w:p w:rsidR="4C9258E6" w:rsidP="3A232ED9" w:rsidRDefault="7C54500E" w14:paraId="1B64BE9D" w14:textId="0F4D6F5A">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A converse relationship is also observed with 24% of trainees with high burnout levels either strongly disagreeing or disagreeing that they would recommend their placement, 11% of moderate burnout levels and just 4% in the low burnout group. </w:t>
      </w: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200"/>
        <w:gridCol w:w="2490"/>
        <w:gridCol w:w="2460"/>
        <w:gridCol w:w="1980"/>
      </w:tblGrid>
      <w:tr w:rsidR="3A232ED9" w:rsidTr="3A232ED9" w14:paraId="56C038FB" w14:textId="77777777">
        <w:trPr>
          <w:trHeight w:val="285"/>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1376D51" w14:textId="56ABAC65">
            <w:pPr>
              <w:rPr>
                <w:rFonts w:ascii="Calibri" w:hAnsi="Calibri" w:eastAsia="Calibri" w:cs="Calibri"/>
                <w:sz w:val="24"/>
                <w:szCs w:val="24"/>
              </w:rPr>
            </w:pPr>
          </w:p>
        </w:tc>
        <w:tc>
          <w:tcPr>
            <w:tcW w:w="693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487EC560" w14:textId="3C645495">
            <w:pPr>
              <w:rPr>
                <w:rFonts w:ascii="Calibri" w:hAnsi="Calibri" w:eastAsia="Calibri" w:cs="Calibri"/>
                <w:sz w:val="24"/>
                <w:szCs w:val="24"/>
              </w:rPr>
            </w:pPr>
            <w:r w:rsidRPr="3A232ED9">
              <w:rPr>
                <w:rFonts w:ascii="Calibri" w:hAnsi="Calibri" w:eastAsia="Calibri" w:cs="Calibri"/>
                <w:b/>
                <w:bCs/>
                <w:sz w:val="24"/>
                <w:szCs w:val="24"/>
              </w:rPr>
              <w:t>I would recommend this placement to other trainees at my level</w:t>
            </w:r>
          </w:p>
        </w:tc>
      </w:tr>
      <w:tr w:rsidR="3A232ED9" w:rsidTr="3A232ED9" w14:paraId="1FF0AF8D" w14:textId="77777777">
        <w:trPr>
          <w:trHeight w:val="285"/>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2040EC4D" w14:textId="41544963">
            <w:pPr>
              <w:rPr>
                <w:rFonts w:ascii="Calibri" w:hAnsi="Calibri" w:eastAsia="Calibri" w:cs="Calibri"/>
                <w:sz w:val="24"/>
                <w:szCs w:val="24"/>
              </w:rPr>
            </w:pPr>
            <w:r w:rsidRPr="3A232ED9">
              <w:rPr>
                <w:rFonts w:ascii="Calibri" w:hAnsi="Calibri" w:eastAsia="Calibri" w:cs="Calibri"/>
                <w:b/>
                <w:bCs/>
                <w:sz w:val="24"/>
                <w:szCs w:val="24"/>
              </w:rPr>
              <w:t>Burnout</w:t>
            </w:r>
          </w:p>
        </w:tc>
        <w:tc>
          <w:tcPr>
            <w:tcW w:w="2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5D51FC1" w14:textId="7A230300">
            <w:pPr>
              <w:rPr>
                <w:rFonts w:ascii="Calibri" w:hAnsi="Calibri" w:eastAsia="Calibri" w:cs="Calibri"/>
                <w:sz w:val="24"/>
                <w:szCs w:val="24"/>
              </w:rPr>
            </w:pPr>
            <w:r w:rsidRPr="3A232ED9">
              <w:rPr>
                <w:rFonts w:ascii="Calibri" w:hAnsi="Calibri" w:eastAsia="Calibri" w:cs="Calibri"/>
                <w:b/>
                <w:bCs/>
                <w:sz w:val="24"/>
                <w:szCs w:val="24"/>
              </w:rPr>
              <w:t>Strongly disagree/Disagree</w:t>
            </w:r>
          </w:p>
        </w:tc>
        <w:tc>
          <w:tcPr>
            <w:tcW w:w="24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3CEAEA95" w14:textId="7C8C953C">
            <w:pPr>
              <w:rPr>
                <w:rFonts w:ascii="Calibri" w:hAnsi="Calibri" w:eastAsia="Calibri" w:cs="Calibri"/>
                <w:sz w:val="24"/>
                <w:szCs w:val="24"/>
              </w:rPr>
            </w:pPr>
            <w:r w:rsidRPr="3A232ED9">
              <w:rPr>
                <w:rFonts w:ascii="Calibri" w:hAnsi="Calibri" w:eastAsia="Calibri" w:cs="Calibri"/>
                <w:b/>
                <w:bCs/>
                <w:sz w:val="24"/>
                <w:szCs w:val="24"/>
              </w:rPr>
              <w:t>Neither agree nor disagree</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1A2D1D56" w14:textId="7B8F167A">
            <w:pPr>
              <w:rPr>
                <w:rFonts w:ascii="Calibri" w:hAnsi="Calibri" w:eastAsia="Calibri" w:cs="Calibri"/>
                <w:sz w:val="24"/>
                <w:szCs w:val="24"/>
              </w:rPr>
            </w:pPr>
            <w:r w:rsidRPr="3A232ED9">
              <w:rPr>
                <w:rFonts w:ascii="Calibri" w:hAnsi="Calibri" w:eastAsia="Calibri" w:cs="Calibri"/>
                <w:b/>
                <w:bCs/>
                <w:sz w:val="24"/>
                <w:szCs w:val="24"/>
              </w:rPr>
              <w:t>Strongly agree/Agree</w:t>
            </w:r>
          </w:p>
        </w:tc>
      </w:tr>
      <w:tr w:rsidR="3A232ED9" w:rsidTr="3A232ED9" w14:paraId="271982DD" w14:textId="77777777">
        <w:trPr>
          <w:trHeight w:val="285"/>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38CAA4B7" w14:textId="49FE39D2">
            <w:pPr>
              <w:rPr>
                <w:rFonts w:ascii="Calibri" w:hAnsi="Calibri" w:eastAsia="Calibri" w:cs="Calibri"/>
                <w:sz w:val="24"/>
                <w:szCs w:val="24"/>
              </w:rPr>
            </w:pPr>
            <w:r w:rsidRPr="3A232ED9">
              <w:rPr>
                <w:rFonts w:ascii="Calibri" w:hAnsi="Calibri" w:eastAsia="Calibri" w:cs="Calibri"/>
                <w:sz w:val="24"/>
                <w:szCs w:val="24"/>
              </w:rPr>
              <w:t>Low</w:t>
            </w:r>
          </w:p>
        </w:tc>
        <w:tc>
          <w:tcPr>
            <w:tcW w:w="2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05D4D06F" w14:textId="7FE03ECB">
            <w:pPr>
              <w:rPr>
                <w:rFonts w:ascii="Calibri" w:hAnsi="Calibri" w:eastAsia="Calibri" w:cs="Calibri"/>
                <w:sz w:val="24"/>
                <w:szCs w:val="24"/>
              </w:rPr>
            </w:pPr>
            <w:r w:rsidRPr="3A232ED9">
              <w:rPr>
                <w:rFonts w:ascii="Calibri" w:hAnsi="Calibri" w:eastAsia="Calibri" w:cs="Calibri"/>
                <w:sz w:val="24"/>
                <w:szCs w:val="24"/>
              </w:rPr>
              <w:t>4%</w:t>
            </w:r>
          </w:p>
        </w:tc>
        <w:tc>
          <w:tcPr>
            <w:tcW w:w="24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53FF2F7" w14:textId="412A2503">
            <w:pPr>
              <w:rPr>
                <w:rFonts w:ascii="Calibri" w:hAnsi="Calibri" w:eastAsia="Calibri" w:cs="Calibri"/>
                <w:sz w:val="24"/>
                <w:szCs w:val="24"/>
              </w:rPr>
            </w:pPr>
            <w:r w:rsidRPr="3A232ED9">
              <w:rPr>
                <w:rFonts w:ascii="Calibri" w:hAnsi="Calibri" w:eastAsia="Calibri" w:cs="Calibri"/>
                <w:sz w:val="24"/>
                <w:szCs w:val="24"/>
              </w:rPr>
              <w:t>11%</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051E9680" w14:textId="4DF95752">
            <w:pPr>
              <w:rPr>
                <w:rFonts w:ascii="Calibri" w:hAnsi="Calibri" w:eastAsia="Calibri" w:cs="Calibri"/>
                <w:sz w:val="24"/>
                <w:szCs w:val="24"/>
              </w:rPr>
            </w:pPr>
            <w:r w:rsidRPr="3A232ED9">
              <w:rPr>
                <w:rFonts w:ascii="Calibri" w:hAnsi="Calibri" w:eastAsia="Calibri" w:cs="Calibri"/>
                <w:sz w:val="24"/>
                <w:szCs w:val="24"/>
              </w:rPr>
              <w:t>85%</w:t>
            </w:r>
          </w:p>
        </w:tc>
      </w:tr>
      <w:tr w:rsidR="3A232ED9" w:rsidTr="3A232ED9" w14:paraId="5992AFC3" w14:textId="77777777">
        <w:trPr>
          <w:trHeight w:val="285"/>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0B382147" w14:textId="1495BEB5">
            <w:pPr>
              <w:rPr>
                <w:rFonts w:ascii="Calibri" w:hAnsi="Calibri" w:eastAsia="Calibri" w:cs="Calibri"/>
                <w:sz w:val="24"/>
                <w:szCs w:val="24"/>
              </w:rPr>
            </w:pPr>
            <w:r w:rsidRPr="3A232ED9">
              <w:rPr>
                <w:rFonts w:ascii="Calibri" w:hAnsi="Calibri" w:eastAsia="Calibri" w:cs="Calibri"/>
                <w:sz w:val="24"/>
                <w:szCs w:val="24"/>
              </w:rPr>
              <w:t>Moderate</w:t>
            </w:r>
          </w:p>
        </w:tc>
        <w:tc>
          <w:tcPr>
            <w:tcW w:w="2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740D279" w14:textId="1AFA4B62">
            <w:pPr>
              <w:rPr>
                <w:rFonts w:ascii="Calibri" w:hAnsi="Calibri" w:eastAsia="Calibri" w:cs="Calibri"/>
                <w:sz w:val="24"/>
                <w:szCs w:val="24"/>
              </w:rPr>
            </w:pPr>
            <w:r w:rsidRPr="3A232ED9">
              <w:rPr>
                <w:rFonts w:ascii="Calibri" w:hAnsi="Calibri" w:eastAsia="Calibri" w:cs="Calibri"/>
                <w:sz w:val="24"/>
                <w:szCs w:val="24"/>
              </w:rPr>
              <w:t>11%</w:t>
            </w:r>
          </w:p>
        </w:tc>
        <w:tc>
          <w:tcPr>
            <w:tcW w:w="24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577DD5D4" w14:textId="008DA9D5">
            <w:pPr>
              <w:rPr>
                <w:rFonts w:ascii="Calibri" w:hAnsi="Calibri" w:eastAsia="Calibri" w:cs="Calibri"/>
                <w:sz w:val="24"/>
                <w:szCs w:val="24"/>
              </w:rPr>
            </w:pPr>
            <w:r w:rsidRPr="3A232ED9">
              <w:rPr>
                <w:rFonts w:ascii="Calibri" w:hAnsi="Calibri" w:eastAsia="Calibri" w:cs="Calibri"/>
                <w:sz w:val="24"/>
                <w:szCs w:val="24"/>
              </w:rPr>
              <w:t>21%</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22D20755" w14:textId="0C58D584">
            <w:pPr>
              <w:rPr>
                <w:rFonts w:ascii="Calibri" w:hAnsi="Calibri" w:eastAsia="Calibri" w:cs="Calibri"/>
                <w:sz w:val="24"/>
                <w:szCs w:val="24"/>
              </w:rPr>
            </w:pPr>
            <w:r w:rsidRPr="3A232ED9">
              <w:rPr>
                <w:rFonts w:ascii="Calibri" w:hAnsi="Calibri" w:eastAsia="Calibri" w:cs="Calibri"/>
                <w:sz w:val="24"/>
                <w:szCs w:val="24"/>
              </w:rPr>
              <w:t>68%</w:t>
            </w:r>
          </w:p>
        </w:tc>
      </w:tr>
      <w:tr w:rsidR="3A232ED9" w:rsidTr="3A232ED9" w14:paraId="60CD7B3C" w14:textId="77777777">
        <w:trPr>
          <w:trHeight w:val="285"/>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38CF5C5E" w14:textId="5C29CCF3">
            <w:pPr>
              <w:rPr>
                <w:rFonts w:ascii="Calibri" w:hAnsi="Calibri" w:eastAsia="Calibri" w:cs="Calibri"/>
                <w:sz w:val="24"/>
                <w:szCs w:val="24"/>
              </w:rPr>
            </w:pPr>
            <w:r w:rsidRPr="3A232ED9">
              <w:rPr>
                <w:rFonts w:ascii="Calibri" w:hAnsi="Calibri" w:eastAsia="Calibri" w:cs="Calibri"/>
                <w:sz w:val="24"/>
                <w:szCs w:val="24"/>
              </w:rPr>
              <w:t>High</w:t>
            </w:r>
          </w:p>
        </w:tc>
        <w:tc>
          <w:tcPr>
            <w:tcW w:w="2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3812CB8" w14:textId="0B916A14">
            <w:pPr>
              <w:rPr>
                <w:rFonts w:ascii="Calibri" w:hAnsi="Calibri" w:eastAsia="Calibri" w:cs="Calibri"/>
                <w:sz w:val="24"/>
                <w:szCs w:val="24"/>
              </w:rPr>
            </w:pPr>
            <w:r w:rsidRPr="3A232ED9">
              <w:rPr>
                <w:rFonts w:ascii="Calibri" w:hAnsi="Calibri" w:eastAsia="Calibri" w:cs="Calibri"/>
                <w:sz w:val="24"/>
                <w:szCs w:val="24"/>
              </w:rPr>
              <w:t>24%</w:t>
            </w:r>
          </w:p>
        </w:tc>
        <w:tc>
          <w:tcPr>
            <w:tcW w:w="246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0965F889" w14:textId="7CA41C80">
            <w:pPr>
              <w:rPr>
                <w:rFonts w:ascii="Calibri" w:hAnsi="Calibri" w:eastAsia="Calibri" w:cs="Calibri"/>
                <w:sz w:val="24"/>
                <w:szCs w:val="24"/>
              </w:rPr>
            </w:pPr>
            <w:r w:rsidRPr="3A232ED9">
              <w:rPr>
                <w:rFonts w:ascii="Calibri" w:hAnsi="Calibri" w:eastAsia="Calibri" w:cs="Calibri"/>
                <w:sz w:val="24"/>
                <w:szCs w:val="24"/>
              </w:rPr>
              <w:t>27%</w:t>
            </w:r>
          </w:p>
        </w:tc>
        <w:tc>
          <w:tcPr>
            <w:tcW w:w="1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392E670E" w14:textId="7DE141AD">
            <w:pPr>
              <w:rPr>
                <w:rFonts w:ascii="Calibri" w:hAnsi="Calibri" w:eastAsia="Calibri" w:cs="Calibri"/>
                <w:sz w:val="24"/>
                <w:szCs w:val="24"/>
              </w:rPr>
            </w:pPr>
            <w:r w:rsidRPr="3A232ED9">
              <w:rPr>
                <w:rFonts w:ascii="Calibri" w:hAnsi="Calibri" w:eastAsia="Calibri" w:cs="Calibri"/>
                <w:sz w:val="24"/>
                <w:szCs w:val="24"/>
              </w:rPr>
              <w:t>49%</w:t>
            </w:r>
          </w:p>
        </w:tc>
      </w:tr>
    </w:tbl>
    <w:p w:rsidR="4C9258E6" w:rsidP="3A232ED9" w:rsidRDefault="7C54500E" w14:paraId="24A3FF36" w14:textId="5214C5CF">
      <w:pPr>
        <w:spacing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13 – Table demonstrating recommendations of placement </w:t>
      </w:r>
    </w:p>
    <w:p w:rsidR="4C9258E6" w:rsidP="3A232ED9" w:rsidRDefault="00AC300F" w14:paraId="0754F356" w14:textId="624397F3">
      <w:pPr>
        <w:spacing w:line="276" w:lineRule="auto"/>
        <w:rPr>
          <w:rFonts w:ascii="Calibri" w:hAnsi="Calibri" w:eastAsia="Calibri" w:cs="Calibri"/>
          <w:color w:val="007CBA"/>
          <w:sz w:val="36"/>
          <w:szCs w:val="36"/>
        </w:rPr>
      </w:pPr>
      <w:r w:rsidRPr="00F35686">
        <w:rPr>
          <w:rFonts w:ascii="Calibri" w:hAnsi="Calibri" w:cs="Calibri"/>
          <w:noProof/>
          <w:lang w:eastAsia="en-GB"/>
        </w:rPr>
        <w:drawing>
          <wp:inline distT="0" distB="0" distL="0" distR="0" wp14:anchorId="56292050" wp14:editId="78A4DC3D">
            <wp:extent cx="5731510" cy="2626360"/>
            <wp:effectExtent l="0" t="0" r="2540" b="2540"/>
            <wp:docPr id="1759791111" name="Picture 9" descr="A graph of different colored bars&#10;&#10;AI-generated content may be incorrect."/>
            <wp:cNvGraphicFramePr/>
            <a:graphic xmlns:a="http://schemas.openxmlformats.org/drawingml/2006/main">
              <a:graphicData uri="http://schemas.openxmlformats.org/drawingml/2006/picture">
                <pic:pic xmlns:pic="http://schemas.openxmlformats.org/drawingml/2006/picture">
                  <pic:nvPicPr>
                    <pic:cNvPr id="1759791111" name="Picture 9" descr="A graph of different colored bars&#10;&#10;AI-generated content may be incorrect."/>
                    <pic:cNvPicPr/>
                  </pic:nvPicPr>
                  <pic:blipFill>
                    <a:blip r:embed="rId45"/>
                    <a:srcRect/>
                    <a:stretch>
                      <a:fillRect/>
                    </a:stretch>
                  </pic:blipFill>
                  <pic:spPr>
                    <a:xfrm>
                      <a:off x="0" y="0"/>
                      <a:ext cx="5731510" cy="2626360"/>
                    </a:xfrm>
                    <a:prstGeom prst="rect">
                      <a:avLst/>
                    </a:prstGeom>
                    <a:noFill/>
                    <a:ln>
                      <a:noFill/>
                      <a:prstDash/>
                    </a:ln>
                  </pic:spPr>
                </pic:pic>
              </a:graphicData>
            </a:graphic>
          </wp:inline>
        </w:drawing>
      </w:r>
    </w:p>
    <w:p w:rsidR="4C9258E6" w:rsidP="3A232ED9" w:rsidRDefault="7C54500E" w14:paraId="55875485" w14:textId="1A503252">
      <w:pPr>
        <w:spacing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14 – Correlation of placement recommendation with burnout levels </w:t>
      </w:r>
    </w:p>
    <w:p w:rsidR="4C9258E6" w:rsidP="3A232ED9" w:rsidRDefault="7C54500E" w14:paraId="757952AD" w14:textId="4B3A0E2D">
      <w:pPr>
        <w:pStyle w:val="Heading3"/>
        <w:spacing w:line="276" w:lineRule="auto"/>
        <w:rPr>
          <w:rFonts w:ascii="Calibri" w:hAnsi="Calibri" w:eastAsia="Calibri" w:cs="Calibri"/>
          <w:color w:val="002060"/>
          <w:sz w:val="24"/>
          <w:szCs w:val="24"/>
        </w:rPr>
      </w:pPr>
      <w:bookmarkStart w:name="_Toc319017170" w:id="385254105"/>
      <w:r w:rsidRPr="2FF77C75" w:rsidR="7C54500E">
        <w:rPr>
          <w:rFonts w:ascii="Calibri" w:hAnsi="Calibri" w:eastAsia="Calibri" w:cs="Calibri"/>
          <w:color w:val="002060"/>
          <w:sz w:val="24"/>
          <w:szCs w:val="24"/>
        </w:rPr>
        <w:t>Enjoyment of Placement</w:t>
      </w:r>
      <w:bookmarkEnd w:id="385254105"/>
    </w:p>
    <w:p w:rsidR="4C9258E6" w:rsidP="3A232ED9" w:rsidRDefault="7C54500E" w14:paraId="17ED1CEC" w14:textId="7008C549">
      <w:pPr>
        <w:spacing w:line="276"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enjoyment of their placement also appeared to be affected by burnout levels (chi &lt;0.001). Most trainees with low burn out levels enjoyed their placements (90%) but just over half of trainees affected by high levels of burnout (56%) said that they had enjoyed working within their current unit. </w:t>
      </w:r>
    </w:p>
    <w:p w:rsidR="4C9258E6" w:rsidP="3A232ED9" w:rsidRDefault="4C9258E6" w14:paraId="5A7843AF" w14:textId="70551EE0">
      <w:pPr>
        <w:spacing w:line="276" w:lineRule="auto"/>
        <w:rPr>
          <w:rFonts w:ascii="Calibri" w:hAnsi="Calibri" w:eastAsia="Calibri" w:cs="Calibri"/>
          <w:color w:val="000000" w:themeColor="text1"/>
          <w:sz w:val="24"/>
          <w:szCs w:val="24"/>
        </w:rPr>
      </w:pPr>
    </w:p>
    <w:tbl>
      <w:tblPr>
        <w:tblW w:w="0" w:type="auto"/>
        <w:tblBorders>
          <w:top w:val="single" w:color="auto" w:sz="6" w:space="0"/>
          <w:left w:val="single" w:color="auto" w:sz="6" w:space="0"/>
          <w:bottom w:val="single" w:color="auto" w:sz="6" w:space="0"/>
          <w:right w:val="single" w:color="auto" w:sz="6" w:space="0"/>
        </w:tblBorders>
        <w:tblLook w:val="0000" w:firstRow="0" w:lastRow="0" w:firstColumn="0" w:lastColumn="0" w:noHBand="0" w:noVBand="0"/>
      </w:tblPr>
      <w:tblGrid>
        <w:gridCol w:w="1200"/>
        <w:gridCol w:w="2925"/>
        <w:gridCol w:w="2610"/>
        <w:gridCol w:w="2250"/>
      </w:tblGrid>
      <w:tr w:rsidR="3A232ED9" w:rsidTr="3A232ED9" w14:paraId="446DC8D5" w14:textId="77777777">
        <w:trPr>
          <w:trHeight w:val="300"/>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5F6410E3" w14:textId="5C1EBB2B">
            <w:pPr>
              <w:rPr>
                <w:rFonts w:ascii="Calibri" w:hAnsi="Calibri" w:eastAsia="Calibri" w:cs="Calibri"/>
                <w:sz w:val="24"/>
                <w:szCs w:val="24"/>
              </w:rPr>
            </w:pPr>
            <w:r w:rsidRPr="3A232ED9">
              <w:rPr>
                <w:rFonts w:ascii="Calibri" w:hAnsi="Calibri" w:eastAsia="Calibri" w:cs="Calibri"/>
                <w:b/>
                <w:bCs/>
                <w:sz w:val="24"/>
                <w:szCs w:val="24"/>
              </w:rPr>
              <w:t>Burnout</w:t>
            </w:r>
          </w:p>
        </w:tc>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B58F608" w14:textId="4B24B5D4">
            <w:pPr>
              <w:rPr>
                <w:rFonts w:ascii="Calibri" w:hAnsi="Calibri" w:eastAsia="Calibri" w:cs="Calibri"/>
                <w:sz w:val="24"/>
                <w:szCs w:val="24"/>
              </w:rPr>
            </w:pPr>
            <w:r w:rsidRPr="3A232ED9">
              <w:rPr>
                <w:rFonts w:ascii="Calibri" w:hAnsi="Calibri" w:eastAsia="Calibri" w:cs="Calibri"/>
                <w:b/>
                <w:bCs/>
                <w:sz w:val="24"/>
                <w:szCs w:val="24"/>
              </w:rPr>
              <w:t>Strongly disagree/Disagree</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347ABBB3" w14:textId="12FA784F">
            <w:pPr>
              <w:rPr>
                <w:rFonts w:ascii="Calibri" w:hAnsi="Calibri" w:eastAsia="Calibri" w:cs="Calibri"/>
                <w:sz w:val="24"/>
                <w:szCs w:val="24"/>
              </w:rPr>
            </w:pPr>
            <w:r w:rsidRPr="3A232ED9">
              <w:rPr>
                <w:rFonts w:ascii="Calibri" w:hAnsi="Calibri" w:eastAsia="Calibri" w:cs="Calibri"/>
                <w:b/>
                <w:bCs/>
                <w:sz w:val="24"/>
                <w:szCs w:val="24"/>
              </w:rPr>
              <w:t>Neither agree nor disagree</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3A0F3965" w14:textId="1291EF8B">
            <w:pPr>
              <w:rPr>
                <w:rFonts w:ascii="Calibri" w:hAnsi="Calibri" w:eastAsia="Calibri" w:cs="Calibri"/>
                <w:sz w:val="24"/>
                <w:szCs w:val="24"/>
              </w:rPr>
            </w:pPr>
            <w:r w:rsidRPr="3A232ED9">
              <w:rPr>
                <w:rFonts w:ascii="Calibri" w:hAnsi="Calibri" w:eastAsia="Calibri" w:cs="Calibri"/>
                <w:b/>
                <w:bCs/>
                <w:sz w:val="24"/>
                <w:szCs w:val="24"/>
              </w:rPr>
              <w:t>Strongly agree/Agree</w:t>
            </w:r>
          </w:p>
        </w:tc>
      </w:tr>
      <w:tr w:rsidR="3A232ED9" w:rsidTr="3A232ED9" w14:paraId="1F2B5A56" w14:textId="77777777">
        <w:trPr>
          <w:trHeight w:val="300"/>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AB6FE9A" w14:textId="50260BF3">
            <w:pPr>
              <w:rPr>
                <w:rFonts w:ascii="Calibri" w:hAnsi="Calibri" w:eastAsia="Calibri" w:cs="Calibri"/>
                <w:sz w:val="24"/>
                <w:szCs w:val="24"/>
              </w:rPr>
            </w:pPr>
            <w:r w:rsidRPr="3A232ED9">
              <w:rPr>
                <w:rFonts w:ascii="Calibri" w:hAnsi="Calibri" w:eastAsia="Calibri" w:cs="Calibri"/>
                <w:sz w:val="24"/>
                <w:szCs w:val="24"/>
              </w:rPr>
              <w:t>Low</w:t>
            </w:r>
          </w:p>
        </w:tc>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2D142CA2" w14:textId="04E2FB47">
            <w:pPr>
              <w:rPr>
                <w:rFonts w:ascii="Calibri" w:hAnsi="Calibri" w:eastAsia="Calibri" w:cs="Calibri"/>
                <w:sz w:val="24"/>
                <w:szCs w:val="24"/>
              </w:rPr>
            </w:pPr>
            <w:r w:rsidRPr="3A232ED9">
              <w:rPr>
                <w:rFonts w:ascii="Calibri" w:hAnsi="Calibri" w:eastAsia="Calibri" w:cs="Calibri"/>
                <w:sz w:val="24"/>
                <w:szCs w:val="24"/>
              </w:rPr>
              <w:t>3%</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0211E48" w14:textId="438311E3">
            <w:pPr>
              <w:rPr>
                <w:rFonts w:ascii="Calibri" w:hAnsi="Calibri" w:eastAsia="Calibri" w:cs="Calibri"/>
                <w:sz w:val="24"/>
                <w:szCs w:val="24"/>
              </w:rPr>
            </w:pPr>
            <w:r w:rsidRPr="3A232ED9">
              <w:rPr>
                <w:rFonts w:ascii="Calibri" w:hAnsi="Calibri" w:eastAsia="Calibri" w:cs="Calibri"/>
                <w:sz w:val="24"/>
                <w:szCs w:val="24"/>
              </w:rPr>
              <w:t>8%</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1F0E2F78" w14:textId="53DAE57E">
            <w:pPr>
              <w:rPr>
                <w:rFonts w:ascii="Calibri" w:hAnsi="Calibri" w:eastAsia="Calibri" w:cs="Calibri"/>
                <w:sz w:val="24"/>
                <w:szCs w:val="24"/>
              </w:rPr>
            </w:pPr>
            <w:r w:rsidRPr="3A232ED9">
              <w:rPr>
                <w:rFonts w:ascii="Calibri" w:hAnsi="Calibri" w:eastAsia="Calibri" w:cs="Calibri"/>
                <w:sz w:val="24"/>
                <w:szCs w:val="24"/>
              </w:rPr>
              <w:t>90%</w:t>
            </w:r>
          </w:p>
        </w:tc>
      </w:tr>
      <w:tr w:rsidR="3A232ED9" w:rsidTr="3A232ED9" w14:paraId="596BFC04" w14:textId="77777777">
        <w:trPr>
          <w:trHeight w:val="300"/>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7833E88D" w14:textId="4C25C1D2">
            <w:pPr>
              <w:rPr>
                <w:rFonts w:ascii="Calibri" w:hAnsi="Calibri" w:eastAsia="Calibri" w:cs="Calibri"/>
                <w:sz w:val="24"/>
                <w:szCs w:val="24"/>
              </w:rPr>
            </w:pPr>
            <w:r w:rsidRPr="3A232ED9">
              <w:rPr>
                <w:rFonts w:ascii="Calibri" w:hAnsi="Calibri" w:eastAsia="Calibri" w:cs="Calibri"/>
                <w:sz w:val="24"/>
                <w:szCs w:val="24"/>
              </w:rPr>
              <w:t>Moderate</w:t>
            </w:r>
          </w:p>
        </w:tc>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53419A23" w14:textId="086102CB">
            <w:pPr>
              <w:rPr>
                <w:rFonts w:ascii="Calibri" w:hAnsi="Calibri" w:eastAsia="Calibri" w:cs="Calibri"/>
                <w:sz w:val="24"/>
                <w:szCs w:val="24"/>
              </w:rPr>
            </w:pPr>
            <w:r w:rsidRPr="3A232ED9">
              <w:rPr>
                <w:rFonts w:ascii="Calibri" w:hAnsi="Calibri" w:eastAsia="Calibri" w:cs="Calibri"/>
                <w:sz w:val="24"/>
                <w:szCs w:val="24"/>
              </w:rPr>
              <w:t>7%</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40EA9616" w14:textId="2AC5A5A4">
            <w:pPr>
              <w:rPr>
                <w:rFonts w:ascii="Calibri" w:hAnsi="Calibri" w:eastAsia="Calibri" w:cs="Calibri"/>
                <w:sz w:val="24"/>
                <w:szCs w:val="24"/>
              </w:rPr>
            </w:pPr>
            <w:r w:rsidRPr="3A232ED9">
              <w:rPr>
                <w:rFonts w:ascii="Calibri" w:hAnsi="Calibri" w:eastAsia="Calibri" w:cs="Calibri"/>
                <w:sz w:val="24"/>
                <w:szCs w:val="24"/>
              </w:rPr>
              <w:t>19%</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0C516ADA" w14:textId="20077EBE">
            <w:pPr>
              <w:rPr>
                <w:rFonts w:ascii="Calibri" w:hAnsi="Calibri" w:eastAsia="Calibri" w:cs="Calibri"/>
                <w:sz w:val="24"/>
                <w:szCs w:val="24"/>
              </w:rPr>
            </w:pPr>
            <w:r w:rsidRPr="3A232ED9">
              <w:rPr>
                <w:rFonts w:ascii="Calibri" w:hAnsi="Calibri" w:eastAsia="Calibri" w:cs="Calibri"/>
                <w:sz w:val="24"/>
                <w:szCs w:val="24"/>
              </w:rPr>
              <w:t>74%</w:t>
            </w:r>
          </w:p>
        </w:tc>
      </w:tr>
      <w:tr w:rsidR="3A232ED9" w:rsidTr="3A232ED9" w14:paraId="1E5436B0" w14:textId="77777777">
        <w:trPr>
          <w:trHeight w:val="300"/>
        </w:trPr>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59C949B3" w14:textId="10D90EE2">
            <w:pPr>
              <w:rPr>
                <w:rFonts w:ascii="Calibri" w:hAnsi="Calibri" w:eastAsia="Calibri" w:cs="Calibri"/>
                <w:sz w:val="24"/>
                <w:szCs w:val="24"/>
              </w:rPr>
            </w:pPr>
            <w:r w:rsidRPr="3A232ED9">
              <w:rPr>
                <w:rFonts w:ascii="Calibri" w:hAnsi="Calibri" w:eastAsia="Calibri" w:cs="Calibri"/>
                <w:sz w:val="24"/>
                <w:szCs w:val="24"/>
              </w:rPr>
              <w:t>High</w:t>
            </w:r>
          </w:p>
        </w:tc>
        <w:tc>
          <w:tcPr>
            <w:tcW w:w="29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72EBC97" w14:textId="60035816">
            <w:pPr>
              <w:rPr>
                <w:rFonts w:ascii="Calibri" w:hAnsi="Calibri" w:eastAsia="Calibri" w:cs="Calibri"/>
                <w:sz w:val="24"/>
                <w:szCs w:val="24"/>
              </w:rPr>
            </w:pPr>
            <w:r w:rsidRPr="3A232ED9">
              <w:rPr>
                <w:rFonts w:ascii="Calibri" w:hAnsi="Calibri" w:eastAsia="Calibri" w:cs="Calibri"/>
                <w:sz w:val="24"/>
                <w:szCs w:val="24"/>
              </w:rPr>
              <w:t>16%</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52240E02" w14:textId="2A87241D">
            <w:pPr>
              <w:rPr>
                <w:rFonts w:ascii="Calibri" w:hAnsi="Calibri" w:eastAsia="Calibri" w:cs="Calibri"/>
                <w:sz w:val="24"/>
                <w:szCs w:val="24"/>
              </w:rPr>
            </w:pPr>
            <w:r w:rsidRPr="3A232ED9">
              <w:rPr>
                <w:rFonts w:ascii="Calibri" w:hAnsi="Calibri" w:eastAsia="Calibri" w:cs="Calibri"/>
                <w:sz w:val="24"/>
                <w:szCs w:val="24"/>
              </w:rPr>
              <w:t>29%</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105" w:type="dxa"/>
            </w:tcMar>
          </w:tcPr>
          <w:p w:rsidR="3A232ED9" w:rsidP="3A232ED9" w:rsidRDefault="3A232ED9" w14:paraId="6AB9C6F9" w14:textId="138F3434">
            <w:pPr>
              <w:rPr>
                <w:rFonts w:ascii="Calibri" w:hAnsi="Calibri" w:eastAsia="Calibri" w:cs="Calibri"/>
                <w:sz w:val="24"/>
                <w:szCs w:val="24"/>
              </w:rPr>
            </w:pPr>
            <w:r w:rsidRPr="3A232ED9">
              <w:rPr>
                <w:rFonts w:ascii="Calibri" w:hAnsi="Calibri" w:eastAsia="Calibri" w:cs="Calibri"/>
                <w:sz w:val="24"/>
                <w:szCs w:val="24"/>
              </w:rPr>
              <w:t>56%</w:t>
            </w:r>
          </w:p>
        </w:tc>
      </w:tr>
    </w:tbl>
    <w:p w:rsidR="4C9258E6" w:rsidP="3A232ED9" w:rsidRDefault="4C9258E6" w14:paraId="0A01939A" w14:textId="1B066C9B">
      <w:pPr>
        <w:spacing w:line="276" w:lineRule="auto"/>
        <w:rPr>
          <w:rFonts w:ascii="Calibri" w:hAnsi="Calibri" w:eastAsia="Calibri" w:cs="Calibri"/>
          <w:color w:val="007CBA"/>
          <w:sz w:val="36"/>
          <w:szCs w:val="36"/>
        </w:rPr>
      </w:pPr>
    </w:p>
    <w:p w:rsidR="4C9258E6" w:rsidP="3A232ED9" w:rsidRDefault="00A24ACD" w14:paraId="3146035D" w14:textId="56CE27D8">
      <w:pPr>
        <w:spacing w:line="276" w:lineRule="auto"/>
        <w:rPr>
          <w:rFonts w:ascii="Calibri" w:hAnsi="Calibri" w:eastAsia="Calibri" w:cs="Calibri"/>
          <w:color w:val="007CBA"/>
          <w:sz w:val="36"/>
          <w:szCs w:val="36"/>
        </w:rPr>
      </w:pPr>
      <w:r w:rsidRPr="00F35686">
        <w:rPr>
          <w:rFonts w:ascii="Calibri" w:hAnsi="Calibri" w:cs="Calibri"/>
          <w:noProof/>
          <w:lang w:eastAsia="en-GB"/>
        </w:rPr>
        <w:drawing>
          <wp:inline distT="0" distB="0" distL="0" distR="0" wp14:anchorId="3DDB5D3D" wp14:editId="2687BD5D">
            <wp:extent cx="5731510" cy="2626360"/>
            <wp:effectExtent l="0" t="0" r="2540" b="2540"/>
            <wp:docPr id="1045058988" name="Picture 9" descr="A graph of different colored bars&#10;&#10;AI-generated content may be incorrect."/>
            <wp:cNvGraphicFramePr/>
            <a:graphic xmlns:a="http://schemas.openxmlformats.org/drawingml/2006/main">
              <a:graphicData uri="http://schemas.openxmlformats.org/drawingml/2006/picture">
                <pic:pic xmlns:pic="http://schemas.openxmlformats.org/drawingml/2006/picture">
                  <pic:nvPicPr>
                    <pic:cNvPr id="1759791111" name="Picture 9" descr="A graph of different colored bars&#10;&#10;AI-generated content may be incorrect."/>
                    <pic:cNvPicPr/>
                  </pic:nvPicPr>
                  <pic:blipFill>
                    <a:blip r:embed="rId45"/>
                    <a:srcRect/>
                    <a:stretch>
                      <a:fillRect/>
                    </a:stretch>
                  </pic:blipFill>
                  <pic:spPr>
                    <a:xfrm>
                      <a:off x="0" y="0"/>
                      <a:ext cx="5731510" cy="2626360"/>
                    </a:xfrm>
                    <a:prstGeom prst="rect">
                      <a:avLst/>
                    </a:prstGeom>
                    <a:noFill/>
                    <a:ln>
                      <a:noFill/>
                      <a:prstDash/>
                    </a:ln>
                  </pic:spPr>
                </pic:pic>
              </a:graphicData>
            </a:graphic>
          </wp:inline>
        </w:drawing>
      </w:r>
    </w:p>
    <w:p w:rsidR="4C9258E6" w:rsidP="3A232ED9" w:rsidRDefault="7C54500E" w14:paraId="69E7235F" w14:textId="2FEBDC3B">
      <w:pPr>
        <w:spacing w:line="276" w:lineRule="auto"/>
        <w:rPr>
          <w:rFonts w:ascii="Calibri" w:hAnsi="Calibri" w:eastAsia="Calibri" w:cs="Calibri"/>
          <w:color w:val="000000" w:themeColor="text1"/>
          <w:sz w:val="24"/>
          <w:szCs w:val="24"/>
        </w:rPr>
      </w:pPr>
      <w:r w:rsidRPr="3A232ED9">
        <w:rPr>
          <w:rFonts w:ascii="Calibri" w:hAnsi="Calibri" w:eastAsia="Calibri" w:cs="Calibri"/>
          <w:i/>
          <w:iCs/>
          <w:color w:val="000000" w:themeColor="text1"/>
          <w:sz w:val="24"/>
          <w:szCs w:val="24"/>
        </w:rPr>
        <w:t xml:space="preserve">Figure </w:t>
      </w:r>
      <w:r w:rsidR="00A24ACD">
        <w:rPr>
          <w:rFonts w:ascii="Calibri" w:hAnsi="Calibri" w:eastAsia="Calibri" w:cs="Calibri"/>
          <w:i/>
          <w:iCs/>
          <w:color w:val="000000" w:themeColor="text1"/>
          <w:sz w:val="24"/>
          <w:szCs w:val="24"/>
        </w:rPr>
        <w:t>15</w:t>
      </w:r>
      <w:r w:rsidRPr="3A232ED9">
        <w:rPr>
          <w:rFonts w:ascii="Calibri" w:hAnsi="Calibri" w:eastAsia="Calibri" w:cs="Calibri"/>
          <w:i/>
          <w:iCs/>
          <w:color w:val="000000" w:themeColor="text1"/>
          <w:sz w:val="24"/>
          <w:szCs w:val="24"/>
        </w:rPr>
        <w:t xml:space="preserve"> – Link between Placement satisfaction and burnout levels</w:t>
      </w:r>
    </w:p>
    <w:p w:rsidR="4C9258E6" w:rsidP="2FF77C75" w:rsidRDefault="7C54500E" w14:paraId="1DDAE066" w14:textId="45C03C07">
      <w:pPr>
        <w:pStyle w:val="Heading1"/>
        <w:rPr>
          <w:rFonts w:ascii="Calibri" w:hAnsi="Calibri" w:eastAsia="Calibri" w:cs="Calibri"/>
          <w:color w:val="0070C0"/>
          <w:sz w:val="36"/>
          <w:szCs w:val="36"/>
        </w:rPr>
      </w:pPr>
      <w:bookmarkStart w:name="_Toc1363066426" w:id="1567193909"/>
      <w:r w:rsidRPr="2FF77C75" w:rsidR="7C54500E">
        <w:rPr>
          <w:sz w:val="36"/>
          <w:szCs w:val="36"/>
        </w:rPr>
        <w:t>Appendix B</w:t>
      </w:r>
      <w:bookmarkEnd w:id="1567193909"/>
    </w:p>
    <w:p w:rsidR="4C9258E6" w:rsidP="3A232ED9" w:rsidRDefault="7C54500E" w14:paraId="42D28A9C" w14:textId="4B9C66CB">
      <w:pPr>
        <w:spacing w:line="257" w:lineRule="auto"/>
        <w:jc w:val="both"/>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 xml:space="preserve">The below shows the calculations to reach the estimated number of workdays lost due to absences from service over a six-month period. </w:t>
      </w:r>
    </w:p>
    <w:tbl>
      <w:tblPr>
        <w:tblStyle w:val="TableGrid"/>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100"/>
        <w:gridCol w:w="2100"/>
        <w:gridCol w:w="2100"/>
        <w:gridCol w:w="2100"/>
      </w:tblGrid>
      <w:tr w:rsidR="3A232ED9" w:rsidTr="3A232ED9" w14:paraId="6AE23B17" w14:textId="77777777">
        <w:trPr>
          <w:trHeight w:val="300"/>
        </w:trPr>
        <w:tc>
          <w:tcPr>
            <w:tcW w:w="2100" w:type="dxa"/>
            <w:tcMar>
              <w:left w:w="105" w:type="dxa"/>
              <w:right w:w="105" w:type="dxa"/>
            </w:tcMar>
          </w:tcPr>
          <w:p w:rsidR="3A232ED9" w:rsidP="3A232ED9" w:rsidRDefault="3A232ED9" w14:paraId="2FF93473" w14:textId="2840811E">
            <w:pPr>
              <w:spacing w:line="257" w:lineRule="auto"/>
              <w:jc w:val="both"/>
              <w:rPr>
                <w:rFonts w:ascii="Calibri" w:hAnsi="Calibri" w:eastAsia="Calibri" w:cs="Calibri"/>
                <w:sz w:val="24"/>
                <w:szCs w:val="24"/>
              </w:rPr>
            </w:pPr>
            <w:r w:rsidRPr="3A232ED9">
              <w:rPr>
                <w:rFonts w:ascii="Calibri" w:hAnsi="Calibri" w:eastAsia="Calibri" w:cs="Calibri"/>
                <w:b/>
                <w:bCs/>
                <w:sz w:val="24"/>
                <w:szCs w:val="24"/>
              </w:rPr>
              <w:t>Number of days off work</w:t>
            </w:r>
          </w:p>
        </w:tc>
        <w:tc>
          <w:tcPr>
            <w:tcW w:w="2100" w:type="dxa"/>
            <w:tcMar>
              <w:left w:w="105" w:type="dxa"/>
              <w:right w:w="105" w:type="dxa"/>
            </w:tcMar>
          </w:tcPr>
          <w:p w:rsidR="3A232ED9" w:rsidP="3A232ED9" w:rsidRDefault="3A232ED9" w14:paraId="368BB557" w14:textId="1A9E681B">
            <w:pPr>
              <w:spacing w:line="257" w:lineRule="auto"/>
              <w:jc w:val="both"/>
              <w:rPr>
                <w:rFonts w:ascii="Calibri" w:hAnsi="Calibri" w:eastAsia="Calibri" w:cs="Calibri"/>
                <w:sz w:val="24"/>
                <w:szCs w:val="24"/>
              </w:rPr>
            </w:pPr>
            <w:r w:rsidRPr="3A232ED9">
              <w:rPr>
                <w:rFonts w:ascii="Calibri" w:hAnsi="Calibri" w:eastAsia="Calibri" w:cs="Calibri"/>
                <w:b/>
                <w:bCs/>
                <w:sz w:val="24"/>
                <w:szCs w:val="24"/>
              </w:rPr>
              <w:t>Estimated mean</w:t>
            </w:r>
          </w:p>
        </w:tc>
        <w:tc>
          <w:tcPr>
            <w:tcW w:w="2100" w:type="dxa"/>
            <w:tcMar>
              <w:left w:w="105" w:type="dxa"/>
              <w:right w:w="105" w:type="dxa"/>
            </w:tcMar>
          </w:tcPr>
          <w:p w:rsidR="3A232ED9" w:rsidP="3A232ED9" w:rsidRDefault="3A232ED9" w14:paraId="4369904F" w14:textId="764C42E3">
            <w:pPr>
              <w:spacing w:line="257" w:lineRule="auto"/>
              <w:jc w:val="both"/>
              <w:rPr>
                <w:rFonts w:ascii="Calibri" w:hAnsi="Calibri" w:eastAsia="Calibri" w:cs="Calibri"/>
                <w:sz w:val="24"/>
                <w:szCs w:val="24"/>
              </w:rPr>
            </w:pPr>
            <w:r w:rsidRPr="3A232ED9">
              <w:rPr>
                <w:rFonts w:ascii="Calibri" w:hAnsi="Calibri" w:eastAsia="Calibri" w:cs="Calibri"/>
                <w:b/>
                <w:bCs/>
                <w:sz w:val="24"/>
                <w:szCs w:val="24"/>
              </w:rPr>
              <w:t>Responses</w:t>
            </w:r>
          </w:p>
        </w:tc>
        <w:tc>
          <w:tcPr>
            <w:tcW w:w="2100" w:type="dxa"/>
            <w:tcMar>
              <w:left w:w="105" w:type="dxa"/>
              <w:right w:w="105" w:type="dxa"/>
            </w:tcMar>
          </w:tcPr>
          <w:p w:rsidR="3A232ED9" w:rsidP="3A232ED9" w:rsidRDefault="3A232ED9" w14:paraId="4B190B78" w14:textId="1013B35B">
            <w:pPr>
              <w:spacing w:line="257" w:lineRule="auto"/>
              <w:jc w:val="both"/>
              <w:rPr>
                <w:rFonts w:ascii="Calibri" w:hAnsi="Calibri" w:eastAsia="Calibri" w:cs="Calibri"/>
                <w:sz w:val="24"/>
                <w:szCs w:val="24"/>
              </w:rPr>
            </w:pPr>
            <w:r w:rsidRPr="3A232ED9">
              <w:rPr>
                <w:rFonts w:ascii="Calibri" w:hAnsi="Calibri" w:eastAsia="Calibri" w:cs="Calibri"/>
                <w:b/>
                <w:bCs/>
                <w:sz w:val="24"/>
                <w:szCs w:val="24"/>
              </w:rPr>
              <w:t xml:space="preserve">= mean x responses </w:t>
            </w:r>
          </w:p>
        </w:tc>
      </w:tr>
      <w:tr w:rsidR="3A232ED9" w:rsidTr="3A232ED9" w14:paraId="7531C1A8" w14:textId="77777777">
        <w:trPr>
          <w:trHeight w:val="300"/>
        </w:trPr>
        <w:tc>
          <w:tcPr>
            <w:tcW w:w="2100" w:type="dxa"/>
            <w:tcMar>
              <w:left w:w="105" w:type="dxa"/>
              <w:right w:w="105" w:type="dxa"/>
            </w:tcMar>
          </w:tcPr>
          <w:p w:rsidR="3A232ED9" w:rsidP="3A232ED9" w:rsidRDefault="3A232ED9" w14:paraId="02F9DEFE" w14:textId="5E1F738A">
            <w:pPr>
              <w:spacing w:line="257" w:lineRule="auto"/>
              <w:jc w:val="both"/>
              <w:rPr>
                <w:rFonts w:ascii="Calibri" w:hAnsi="Calibri" w:eastAsia="Calibri" w:cs="Calibri"/>
                <w:sz w:val="24"/>
                <w:szCs w:val="24"/>
              </w:rPr>
            </w:pPr>
            <w:r w:rsidRPr="3A232ED9">
              <w:rPr>
                <w:rFonts w:ascii="Calibri" w:hAnsi="Calibri" w:eastAsia="Calibri" w:cs="Calibri"/>
                <w:sz w:val="24"/>
                <w:szCs w:val="24"/>
              </w:rPr>
              <w:t>0 – 1</w:t>
            </w:r>
          </w:p>
        </w:tc>
        <w:tc>
          <w:tcPr>
            <w:tcW w:w="2100" w:type="dxa"/>
            <w:tcMar>
              <w:left w:w="105" w:type="dxa"/>
              <w:right w:w="105" w:type="dxa"/>
            </w:tcMar>
          </w:tcPr>
          <w:p w:rsidR="3A232ED9" w:rsidP="3A232ED9" w:rsidRDefault="3A232ED9" w14:paraId="6A4B5EA4" w14:textId="7F052D52">
            <w:pPr>
              <w:spacing w:line="257" w:lineRule="auto"/>
              <w:jc w:val="both"/>
              <w:rPr>
                <w:rFonts w:ascii="Calibri" w:hAnsi="Calibri" w:eastAsia="Calibri" w:cs="Calibri"/>
                <w:sz w:val="24"/>
                <w:szCs w:val="24"/>
              </w:rPr>
            </w:pPr>
            <w:r w:rsidRPr="3A232ED9">
              <w:rPr>
                <w:rFonts w:ascii="Calibri" w:hAnsi="Calibri" w:eastAsia="Calibri" w:cs="Calibri"/>
                <w:sz w:val="24"/>
                <w:szCs w:val="24"/>
              </w:rPr>
              <w:t>0.5</w:t>
            </w:r>
          </w:p>
        </w:tc>
        <w:tc>
          <w:tcPr>
            <w:tcW w:w="2100" w:type="dxa"/>
            <w:tcMar>
              <w:left w:w="105" w:type="dxa"/>
              <w:right w:w="105" w:type="dxa"/>
            </w:tcMar>
          </w:tcPr>
          <w:p w:rsidR="3A232ED9" w:rsidP="3A232ED9" w:rsidRDefault="3A232ED9" w14:paraId="769F5F7E" w14:textId="6B8E7433">
            <w:pPr>
              <w:spacing w:line="257" w:lineRule="auto"/>
              <w:jc w:val="both"/>
              <w:rPr>
                <w:rFonts w:ascii="Calibri" w:hAnsi="Calibri" w:eastAsia="Calibri" w:cs="Calibri"/>
                <w:sz w:val="24"/>
                <w:szCs w:val="24"/>
              </w:rPr>
            </w:pPr>
            <w:r w:rsidRPr="3A232ED9">
              <w:rPr>
                <w:rFonts w:ascii="Calibri" w:hAnsi="Calibri" w:eastAsia="Calibri" w:cs="Calibri"/>
                <w:sz w:val="24"/>
                <w:szCs w:val="24"/>
              </w:rPr>
              <w:t>45</w:t>
            </w:r>
          </w:p>
        </w:tc>
        <w:tc>
          <w:tcPr>
            <w:tcW w:w="2100" w:type="dxa"/>
            <w:tcMar>
              <w:left w:w="105" w:type="dxa"/>
              <w:right w:w="105" w:type="dxa"/>
            </w:tcMar>
          </w:tcPr>
          <w:p w:rsidR="3A232ED9" w:rsidP="3A232ED9" w:rsidRDefault="3A232ED9" w14:paraId="45C44CCA" w14:textId="5C7C9EFD">
            <w:pPr>
              <w:spacing w:line="257" w:lineRule="auto"/>
              <w:jc w:val="both"/>
              <w:rPr>
                <w:rFonts w:ascii="Calibri" w:hAnsi="Calibri" w:eastAsia="Calibri" w:cs="Calibri"/>
                <w:sz w:val="24"/>
                <w:szCs w:val="24"/>
              </w:rPr>
            </w:pPr>
            <w:r w:rsidRPr="3A232ED9">
              <w:rPr>
                <w:rFonts w:ascii="Calibri" w:hAnsi="Calibri" w:eastAsia="Calibri" w:cs="Calibri"/>
                <w:sz w:val="24"/>
                <w:szCs w:val="24"/>
              </w:rPr>
              <w:t>22.5</w:t>
            </w:r>
          </w:p>
        </w:tc>
      </w:tr>
      <w:tr w:rsidR="3A232ED9" w:rsidTr="3A232ED9" w14:paraId="4F916AA0" w14:textId="77777777">
        <w:trPr>
          <w:trHeight w:val="300"/>
        </w:trPr>
        <w:tc>
          <w:tcPr>
            <w:tcW w:w="2100" w:type="dxa"/>
            <w:tcMar>
              <w:left w:w="105" w:type="dxa"/>
              <w:right w:w="105" w:type="dxa"/>
            </w:tcMar>
          </w:tcPr>
          <w:p w:rsidR="3A232ED9" w:rsidP="3A232ED9" w:rsidRDefault="3A232ED9" w14:paraId="0AF1CFAF" w14:textId="7357E794">
            <w:pPr>
              <w:spacing w:line="257" w:lineRule="auto"/>
              <w:jc w:val="both"/>
              <w:rPr>
                <w:rFonts w:ascii="Calibri" w:hAnsi="Calibri" w:eastAsia="Calibri" w:cs="Calibri"/>
                <w:sz w:val="24"/>
                <w:szCs w:val="24"/>
              </w:rPr>
            </w:pPr>
            <w:r w:rsidRPr="3A232ED9">
              <w:rPr>
                <w:rFonts w:ascii="Calibri" w:hAnsi="Calibri" w:eastAsia="Calibri" w:cs="Calibri"/>
                <w:sz w:val="24"/>
                <w:szCs w:val="24"/>
              </w:rPr>
              <w:t>2 – 3</w:t>
            </w:r>
          </w:p>
        </w:tc>
        <w:tc>
          <w:tcPr>
            <w:tcW w:w="2100" w:type="dxa"/>
            <w:tcMar>
              <w:left w:w="105" w:type="dxa"/>
              <w:right w:w="105" w:type="dxa"/>
            </w:tcMar>
          </w:tcPr>
          <w:p w:rsidR="3A232ED9" w:rsidP="3A232ED9" w:rsidRDefault="3A232ED9" w14:paraId="0DB7E497" w14:textId="1DCF690C">
            <w:pPr>
              <w:spacing w:line="257" w:lineRule="auto"/>
              <w:jc w:val="both"/>
              <w:rPr>
                <w:rFonts w:ascii="Calibri" w:hAnsi="Calibri" w:eastAsia="Calibri" w:cs="Calibri"/>
                <w:sz w:val="24"/>
                <w:szCs w:val="24"/>
              </w:rPr>
            </w:pPr>
            <w:r w:rsidRPr="3A232ED9">
              <w:rPr>
                <w:rFonts w:ascii="Calibri" w:hAnsi="Calibri" w:eastAsia="Calibri" w:cs="Calibri"/>
                <w:sz w:val="24"/>
                <w:szCs w:val="24"/>
              </w:rPr>
              <w:t>2.5</w:t>
            </w:r>
          </w:p>
        </w:tc>
        <w:tc>
          <w:tcPr>
            <w:tcW w:w="2100" w:type="dxa"/>
            <w:tcMar>
              <w:left w:w="105" w:type="dxa"/>
              <w:right w:w="105" w:type="dxa"/>
            </w:tcMar>
          </w:tcPr>
          <w:p w:rsidR="3A232ED9" w:rsidP="3A232ED9" w:rsidRDefault="3A232ED9" w14:paraId="5655660C" w14:textId="12D24348">
            <w:pPr>
              <w:spacing w:line="257" w:lineRule="auto"/>
              <w:jc w:val="both"/>
              <w:rPr>
                <w:rFonts w:ascii="Calibri" w:hAnsi="Calibri" w:eastAsia="Calibri" w:cs="Calibri"/>
                <w:sz w:val="24"/>
                <w:szCs w:val="24"/>
              </w:rPr>
            </w:pPr>
            <w:r w:rsidRPr="3A232ED9">
              <w:rPr>
                <w:rFonts w:ascii="Calibri" w:hAnsi="Calibri" w:eastAsia="Calibri" w:cs="Calibri"/>
                <w:sz w:val="24"/>
                <w:szCs w:val="24"/>
              </w:rPr>
              <w:t>65</w:t>
            </w:r>
          </w:p>
        </w:tc>
        <w:tc>
          <w:tcPr>
            <w:tcW w:w="2100" w:type="dxa"/>
            <w:tcMar>
              <w:left w:w="105" w:type="dxa"/>
              <w:right w:w="105" w:type="dxa"/>
            </w:tcMar>
          </w:tcPr>
          <w:p w:rsidR="3A232ED9" w:rsidP="3A232ED9" w:rsidRDefault="3A232ED9" w14:paraId="257F7DEB" w14:textId="2C230E4A">
            <w:pPr>
              <w:spacing w:line="257" w:lineRule="auto"/>
              <w:jc w:val="both"/>
              <w:rPr>
                <w:rFonts w:ascii="Calibri" w:hAnsi="Calibri" w:eastAsia="Calibri" w:cs="Calibri"/>
                <w:sz w:val="24"/>
                <w:szCs w:val="24"/>
              </w:rPr>
            </w:pPr>
            <w:r w:rsidRPr="3A232ED9">
              <w:rPr>
                <w:rFonts w:ascii="Calibri" w:hAnsi="Calibri" w:eastAsia="Calibri" w:cs="Calibri"/>
                <w:sz w:val="24"/>
                <w:szCs w:val="24"/>
              </w:rPr>
              <w:t>162.5</w:t>
            </w:r>
          </w:p>
        </w:tc>
      </w:tr>
      <w:tr w:rsidR="3A232ED9" w:rsidTr="3A232ED9" w14:paraId="5CABDACC" w14:textId="77777777">
        <w:trPr>
          <w:trHeight w:val="300"/>
        </w:trPr>
        <w:tc>
          <w:tcPr>
            <w:tcW w:w="2100" w:type="dxa"/>
            <w:tcMar>
              <w:left w:w="105" w:type="dxa"/>
              <w:right w:w="105" w:type="dxa"/>
            </w:tcMar>
          </w:tcPr>
          <w:p w:rsidR="3A232ED9" w:rsidP="3A232ED9" w:rsidRDefault="3A232ED9" w14:paraId="35C9AD95" w14:textId="7873BFC7">
            <w:pPr>
              <w:spacing w:line="257" w:lineRule="auto"/>
              <w:jc w:val="both"/>
              <w:rPr>
                <w:rFonts w:ascii="Calibri" w:hAnsi="Calibri" w:eastAsia="Calibri" w:cs="Calibri"/>
                <w:sz w:val="24"/>
                <w:szCs w:val="24"/>
              </w:rPr>
            </w:pPr>
            <w:r w:rsidRPr="3A232ED9">
              <w:rPr>
                <w:rFonts w:ascii="Calibri" w:hAnsi="Calibri" w:eastAsia="Calibri" w:cs="Calibri"/>
                <w:sz w:val="24"/>
                <w:szCs w:val="24"/>
              </w:rPr>
              <w:t>4 – 7</w:t>
            </w:r>
          </w:p>
        </w:tc>
        <w:tc>
          <w:tcPr>
            <w:tcW w:w="2100" w:type="dxa"/>
            <w:tcMar>
              <w:left w:w="105" w:type="dxa"/>
              <w:right w:w="105" w:type="dxa"/>
            </w:tcMar>
          </w:tcPr>
          <w:p w:rsidR="3A232ED9" w:rsidP="3A232ED9" w:rsidRDefault="3A232ED9" w14:paraId="4F208320" w14:textId="27EAFA8E">
            <w:pPr>
              <w:spacing w:line="257" w:lineRule="auto"/>
              <w:jc w:val="both"/>
              <w:rPr>
                <w:rFonts w:ascii="Calibri" w:hAnsi="Calibri" w:eastAsia="Calibri" w:cs="Calibri"/>
                <w:sz w:val="24"/>
                <w:szCs w:val="24"/>
              </w:rPr>
            </w:pPr>
            <w:r w:rsidRPr="3A232ED9">
              <w:rPr>
                <w:rFonts w:ascii="Calibri" w:hAnsi="Calibri" w:eastAsia="Calibri" w:cs="Calibri"/>
                <w:sz w:val="24"/>
                <w:szCs w:val="24"/>
              </w:rPr>
              <w:t>5.5</w:t>
            </w:r>
          </w:p>
        </w:tc>
        <w:tc>
          <w:tcPr>
            <w:tcW w:w="2100" w:type="dxa"/>
            <w:tcMar>
              <w:left w:w="105" w:type="dxa"/>
              <w:right w:w="105" w:type="dxa"/>
            </w:tcMar>
          </w:tcPr>
          <w:p w:rsidR="3A232ED9" w:rsidP="3A232ED9" w:rsidRDefault="3A232ED9" w14:paraId="646C7E44" w14:textId="421141A6">
            <w:pPr>
              <w:spacing w:line="257" w:lineRule="auto"/>
              <w:jc w:val="both"/>
              <w:rPr>
                <w:rFonts w:ascii="Calibri" w:hAnsi="Calibri" w:eastAsia="Calibri" w:cs="Calibri"/>
                <w:sz w:val="24"/>
                <w:szCs w:val="24"/>
              </w:rPr>
            </w:pPr>
            <w:r w:rsidRPr="3A232ED9">
              <w:rPr>
                <w:rFonts w:ascii="Calibri" w:hAnsi="Calibri" w:eastAsia="Calibri" w:cs="Calibri"/>
                <w:sz w:val="24"/>
                <w:szCs w:val="24"/>
              </w:rPr>
              <w:t>48</w:t>
            </w:r>
          </w:p>
        </w:tc>
        <w:tc>
          <w:tcPr>
            <w:tcW w:w="2100" w:type="dxa"/>
            <w:tcMar>
              <w:left w:w="105" w:type="dxa"/>
              <w:right w:w="105" w:type="dxa"/>
            </w:tcMar>
          </w:tcPr>
          <w:p w:rsidR="3A232ED9" w:rsidP="3A232ED9" w:rsidRDefault="3A232ED9" w14:paraId="3D9C8712" w14:textId="48A89F9F">
            <w:pPr>
              <w:spacing w:line="257" w:lineRule="auto"/>
              <w:jc w:val="both"/>
              <w:rPr>
                <w:rFonts w:ascii="Calibri" w:hAnsi="Calibri" w:eastAsia="Calibri" w:cs="Calibri"/>
                <w:sz w:val="24"/>
                <w:szCs w:val="24"/>
              </w:rPr>
            </w:pPr>
            <w:r w:rsidRPr="3A232ED9">
              <w:rPr>
                <w:rFonts w:ascii="Calibri" w:hAnsi="Calibri" w:eastAsia="Calibri" w:cs="Calibri"/>
                <w:sz w:val="24"/>
                <w:szCs w:val="24"/>
              </w:rPr>
              <w:t>264</w:t>
            </w:r>
          </w:p>
        </w:tc>
      </w:tr>
      <w:tr w:rsidR="3A232ED9" w:rsidTr="3A232ED9" w14:paraId="2611486B" w14:textId="77777777">
        <w:trPr>
          <w:trHeight w:val="300"/>
        </w:trPr>
        <w:tc>
          <w:tcPr>
            <w:tcW w:w="2100" w:type="dxa"/>
            <w:tcMar>
              <w:left w:w="105" w:type="dxa"/>
              <w:right w:w="105" w:type="dxa"/>
            </w:tcMar>
          </w:tcPr>
          <w:p w:rsidR="3A232ED9" w:rsidP="3A232ED9" w:rsidRDefault="3A232ED9" w14:paraId="3108CA2E" w14:textId="361463C5">
            <w:pPr>
              <w:spacing w:line="257" w:lineRule="auto"/>
              <w:jc w:val="both"/>
              <w:rPr>
                <w:rFonts w:ascii="Calibri" w:hAnsi="Calibri" w:eastAsia="Calibri" w:cs="Calibri"/>
                <w:sz w:val="24"/>
                <w:szCs w:val="24"/>
              </w:rPr>
            </w:pPr>
            <w:r w:rsidRPr="3A232ED9">
              <w:rPr>
                <w:rFonts w:ascii="Calibri" w:hAnsi="Calibri" w:eastAsia="Calibri" w:cs="Calibri"/>
                <w:sz w:val="24"/>
                <w:szCs w:val="24"/>
              </w:rPr>
              <w:t>8 – 10</w:t>
            </w:r>
          </w:p>
        </w:tc>
        <w:tc>
          <w:tcPr>
            <w:tcW w:w="2100" w:type="dxa"/>
            <w:tcMar>
              <w:left w:w="105" w:type="dxa"/>
              <w:right w:w="105" w:type="dxa"/>
            </w:tcMar>
          </w:tcPr>
          <w:p w:rsidR="3A232ED9" w:rsidP="3A232ED9" w:rsidRDefault="3A232ED9" w14:paraId="5C131B38" w14:textId="416D79EF">
            <w:pPr>
              <w:spacing w:line="257" w:lineRule="auto"/>
              <w:jc w:val="both"/>
              <w:rPr>
                <w:rFonts w:ascii="Calibri" w:hAnsi="Calibri" w:eastAsia="Calibri" w:cs="Calibri"/>
                <w:sz w:val="24"/>
                <w:szCs w:val="24"/>
              </w:rPr>
            </w:pPr>
            <w:r w:rsidRPr="3A232ED9">
              <w:rPr>
                <w:rFonts w:ascii="Calibri" w:hAnsi="Calibri" w:eastAsia="Calibri" w:cs="Calibri"/>
                <w:sz w:val="24"/>
                <w:szCs w:val="24"/>
              </w:rPr>
              <w:t>9</w:t>
            </w:r>
          </w:p>
        </w:tc>
        <w:tc>
          <w:tcPr>
            <w:tcW w:w="2100" w:type="dxa"/>
            <w:tcMar>
              <w:left w:w="105" w:type="dxa"/>
              <w:right w:w="105" w:type="dxa"/>
            </w:tcMar>
          </w:tcPr>
          <w:p w:rsidR="3A232ED9" w:rsidP="3A232ED9" w:rsidRDefault="3A232ED9" w14:paraId="0F80E2A3" w14:textId="23833BB3">
            <w:pPr>
              <w:spacing w:line="257" w:lineRule="auto"/>
              <w:jc w:val="both"/>
              <w:rPr>
                <w:rFonts w:ascii="Calibri" w:hAnsi="Calibri" w:eastAsia="Calibri" w:cs="Calibri"/>
                <w:sz w:val="24"/>
                <w:szCs w:val="24"/>
              </w:rPr>
            </w:pPr>
            <w:r w:rsidRPr="3A232ED9">
              <w:rPr>
                <w:rFonts w:ascii="Calibri" w:hAnsi="Calibri" w:eastAsia="Calibri" w:cs="Calibri"/>
                <w:sz w:val="24"/>
                <w:szCs w:val="24"/>
              </w:rPr>
              <w:t>19</w:t>
            </w:r>
          </w:p>
        </w:tc>
        <w:tc>
          <w:tcPr>
            <w:tcW w:w="2100" w:type="dxa"/>
            <w:tcMar>
              <w:left w:w="105" w:type="dxa"/>
              <w:right w:w="105" w:type="dxa"/>
            </w:tcMar>
          </w:tcPr>
          <w:p w:rsidR="3A232ED9" w:rsidP="3A232ED9" w:rsidRDefault="3A232ED9" w14:paraId="2BC1538E" w14:textId="0A6EF197">
            <w:pPr>
              <w:spacing w:line="257" w:lineRule="auto"/>
              <w:jc w:val="both"/>
              <w:rPr>
                <w:rFonts w:ascii="Calibri" w:hAnsi="Calibri" w:eastAsia="Calibri" w:cs="Calibri"/>
                <w:sz w:val="24"/>
                <w:szCs w:val="24"/>
              </w:rPr>
            </w:pPr>
            <w:r w:rsidRPr="3A232ED9">
              <w:rPr>
                <w:rFonts w:ascii="Calibri" w:hAnsi="Calibri" w:eastAsia="Calibri" w:cs="Calibri"/>
                <w:sz w:val="24"/>
                <w:szCs w:val="24"/>
              </w:rPr>
              <w:t>171</w:t>
            </w:r>
          </w:p>
        </w:tc>
      </w:tr>
      <w:tr w:rsidR="3A232ED9" w:rsidTr="3A232ED9" w14:paraId="52846750" w14:textId="77777777">
        <w:trPr>
          <w:trHeight w:val="300"/>
        </w:trPr>
        <w:tc>
          <w:tcPr>
            <w:tcW w:w="2100" w:type="dxa"/>
            <w:tcMar>
              <w:left w:w="105" w:type="dxa"/>
              <w:right w:w="105" w:type="dxa"/>
            </w:tcMar>
          </w:tcPr>
          <w:p w:rsidR="3A232ED9" w:rsidP="3A232ED9" w:rsidRDefault="3A232ED9" w14:paraId="44C95A9A" w14:textId="25150026">
            <w:pPr>
              <w:pStyle w:val="ListParagraph"/>
              <w:numPr>
                <w:ilvl w:val="0"/>
                <w:numId w:val="1"/>
              </w:numPr>
              <w:spacing w:line="257" w:lineRule="auto"/>
              <w:jc w:val="both"/>
              <w:rPr>
                <w:rFonts w:ascii="Calibri" w:hAnsi="Calibri" w:eastAsia="Calibri" w:cs="Calibri"/>
                <w:sz w:val="24"/>
                <w:szCs w:val="24"/>
              </w:rPr>
            </w:pPr>
            <w:r w:rsidRPr="3A232ED9">
              <w:rPr>
                <w:rFonts w:ascii="Calibri" w:hAnsi="Calibri" w:eastAsia="Calibri" w:cs="Calibri"/>
                <w:sz w:val="24"/>
                <w:szCs w:val="24"/>
              </w:rPr>
              <w:lastRenderedPageBreak/>
              <w:t xml:space="preserve">10 </w:t>
            </w:r>
          </w:p>
        </w:tc>
        <w:tc>
          <w:tcPr>
            <w:tcW w:w="2100" w:type="dxa"/>
            <w:tcMar>
              <w:left w:w="105" w:type="dxa"/>
              <w:right w:w="105" w:type="dxa"/>
            </w:tcMar>
          </w:tcPr>
          <w:p w:rsidR="3A232ED9" w:rsidP="3A232ED9" w:rsidRDefault="3A232ED9" w14:paraId="3C22D6BF" w14:textId="3386C0C9">
            <w:pPr>
              <w:spacing w:line="257" w:lineRule="auto"/>
              <w:jc w:val="both"/>
              <w:rPr>
                <w:rFonts w:ascii="Calibri" w:hAnsi="Calibri" w:eastAsia="Calibri" w:cs="Calibri"/>
                <w:sz w:val="24"/>
                <w:szCs w:val="24"/>
              </w:rPr>
            </w:pPr>
            <w:r w:rsidRPr="3A232ED9">
              <w:rPr>
                <w:rFonts w:ascii="Calibri" w:hAnsi="Calibri" w:eastAsia="Calibri" w:cs="Calibri"/>
                <w:sz w:val="24"/>
                <w:szCs w:val="24"/>
              </w:rPr>
              <w:t>11</w:t>
            </w:r>
          </w:p>
        </w:tc>
        <w:tc>
          <w:tcPr>
            <w:tcW w:w="2100" w:type="dxa"/>
            <w:tcMar>
              <w:left w:w="105" w:type="dxa"/>
              <w:right w:w="105" w:type="dxa"/>
            </w:tcMar>
          </w:tcPr>
          <w:p w:rsidR="3A232ED9" w:rsidP="3A232ED9" w:rsidRDefault="3A232ED9" w14:paraId="5E035377" w14:textId="2218EE7E">
            <w:pPr>
              <w:spacing w:line="257" w:lineRule="auto"/>
              <w:jc w:val="both"/>
              <w:rPr>
                <w:rFonts w:ascii="Calibri" w:hAnsi="Calibri" w:eastAsia="Calibri" w:cs="Calibri"/>
                <w:sz w:val="24"/>
                <w:szCs w:val="24"/>
              </w:rPr>
            </w:pPr>
            <w:r w:rsidRPr="3A232ED9">
              <w:rPr>
                <w:rFonts w:ascii="Calibri" w:hAnsi="Calibri" w:eastAsia="Calibri" w:cs="Calibri"/>
                <w:sz w:val="24"/>
                <w:szCs w:val="24"/>
              </w:rPr>
              <w:t>77</w:t>
            </w:r>
          </w:p>
        </w:tc>
        <w:tc>
          <w:tcPr>
            <w:tcW w:w="2100" w:type="dxa"/>
            <w:tcMar>
              <w:left w:w="105" w:type="dxa"/>
              <w:right w:w="105" w:type="dxa"/>
            </w:tcMar>
          </w:tcPr>
          <w:p w:rsidR="3A232ED9" w:rsidP="3A232ED9" w:rsidRDefault="3A232ED9" w14:paraId="61646A46" w14:textId="1FEA86A5">
            <w:pPr>
              <w:spacing w:line="257" w:lineRule="auto"/>
              <w:jc w:val="both"/>
              <w:rPr>
                <w:rFonts w:ascii="Calibri" w:hAnsi="Calibri" w:eastAsia="Calibri" w:cs="Calibri"/>
                <w:sz w:val="24"/>
                <w:szCs w:val="24"/>
              </w:rPr>
            </w:pPr>
            <w:r w:rsidRPr="3A232ED9">
              <w:rPr>
                <w:rFonts w:ascii="Calibri" w:hAnsi="Calibri" w:eastAsia="Calibri" w:cs="Calibri"/>
                <w:sz w:val="24"/>
                <w:szCs w:val="24"/>
              </w:rPr>
              <w:t>847</w:t>
            </w:r>
          </w:p>
        </w:tc>
      </w:tr>
      <w:tr w:rsidR="3A232ED9" w:rsidTr="3A232ED9" w14:paraId="248799A0" w14:textId="77777777">
        <w:trPr>
          <w:trHeight w:val="300"/>
        </w:trPr>
        <w:tc>
          <w:tcPr>
            <w:tcW w:w="2100" w:type="dxa"/>
            <w:tcMar>
              <w:left w:w="105" w:type="dxa"/>
              <w:right w:w="105" w:type="dxa"/>
            </w:tcMar>
          </w:tcPr>
          <w:p w:rsidR="3A232ED9" w:rsidP="3A232ED9" w:rsidRDefault="3A232ED9" w14:paraId="10C94823" w14:textId="144B7B4B">
            <w:pPr>
              <w:spacing w:line="257" w:lineRule="auto"/>
              <w:ind w:left="720"/>
              <w:jc w:val="both"/>
              <w:rPr>
                <w:rFonts w:ascii="Calibri" w:hAnsi="Calibri" w:eastAsia="Calibri" w:cs="Calibri"/>
                <w:sz w:val="24"/>
                <w:szCs w:val="24"/>
              </w:rPr>
            </w:pPr>
          </w:p>
        </w:tc>
        <w:tc>
          <w:tcPr>
            <w:tcW w:w="2100" w:type="dxa"/>
            <w:tcMar>
              <w:left w:w="105" w:type="dxa"/>
              <w:right w:w="105" w:type="dxa"/>
            </w:tcMar>
          </w:tcPr>
          <w:p w:rsidR="3A232ED9" w:rsidP="3A232ED9" w:rsidRDefault="3A232ED9" w14:paraId="0A937AD5" w14:textId="1B998EA7">
            <w:pPr>
              <w:spacing w:line="257" w:lineRule="auto"/>
              <w:jc w:val="both"/>
              <w:rPr>
                <w:rFonts w:ascii="Calibri" w:hAnsi="Calibri" w:eastAsia="Calibri" w:cs="Calibri"/>
                <w:sz w:val="24"/>
                <w:szCs w:val="24"/>
              </w:rPr>
            </w:pPr>
          </w:p>
        </w:tc>
        <w:tc>
          <w:tcPr>
            <w:tcW w:w="2100" w:type="dxa"/>
            <w:tcMar>
              <w:left w:w="105" w:type="dxa"/>
              <w:right w:w="105" w:type="dxa"/>
            </w:tcMar>
          </w:tcPr>
          <w:p w:rsidR="3A232ED9" w:rsidP="3A232ED9" w:rsidRDefault="3A232ED9" w14:paraId="4E122D31" w14:textId="4BAEA177">
            <w:pPr>
              <w:spacing w:line="257" w:lineRule="auto"/>
              <w:jc w:val="both"/>
              <w:rPr>
                <w:rFonts w:ascii="Calibri" w:hAnsi="Calibri" w:eastAsia="Calibri" w:cs="Calibri"/>
                <w:sz w:val="24"/>
                <w:szCs w:val="24"/>
              </w:rPr>
            </w:pPr>
            <w:r w:rsidRPr="3A232ED9">
              <w:rPr>
                <w:rFonts w:ascii="Calibri" w:hAnsi="Calibri" w:eastAsia="Calibri" w:cs="Calibri"/>
                <w:b/>
                <w:bCs/>
                <w:sz w:val="24"/>
                <w:szCs w:val="24"/>
              </w:rPr>
              <w:t xml:space="preserve">Total </w:t>
            </w:r>
          </w:p>
        </w:tc>
        <w:tc>
          <w:tcPr>
            <w:tcW w:w="2100" w:type="dxa"/>
            <w:tcMar>
              <w:left w:w="105" w:type="dxa"/>
              <w:right w:w="105" w:type="dxa"/>
            </w:tcMar>
          </w:tcPr>
          <w:p w:rsidR="3A232ED9" w:rsidP="3A232ED9" w:rsidRDefault="3A232ED9" w14:paraId="1B53DC03" w14:textId="172E7157">
            <w:pPr>
              <w:spacing w:line="257" w:lineRule="auto"/>
              <w:jc w:val="both"/>
              <w:rPr>
                <w:rFonts w:ascii="Calibri" w:hAnsi="Calibri" w:eastAsia="Calibri" w:cs="Calibri"/>
                <w:sz w:val="24"/>
                <w:szCs w:val="24"/>
              </w:rPr>
            </w:pPr>
            <w:r w:rsidRPr="3A232ED9">
              <w:rPr>
                <w:rFonts w:ascii="Calibri" w:hAnsi="Calibri" w:eastAsia="Calibri" w:cs="Calibri"/>
                <w:sz w:val="24"/>
                <w:szCs w:val="24"/>
              </w:rPr>
              <w:t>1467</w:t>
            </w:r>
          </w:p>
        </w:tc>
      </w:tr>
    </w:tbl>
    <w:p w:rsidR="4C9258E6" w:rsidP="2FF77C75" w:rsidRDefault="7C54500E" w14:paraId="7547E6CD" w14:textId="4525EF4F">
      <w:pPr>
        <w:pStyle w:val="Heading1"/>
        <w:rPr>
          <w:rFonts w:ascii="Calibri" w:hAnsi="Calibri" w:eastAsia="Calibri" w:cs="Calibri"/>
          <w:color w:val="0070C0"/>
          <w:sz w:val="36"/>
          <w:szCs w:val="36"/>
        </w:rPr>
      </w:pPr>
      <w:bookmarkStart w:name="_Toc1632105946" w:id="2043315339"/>
      <w:r w:rsidR="7C54500E">
        <w:rPr/>
        <w:t>Appendix C</w:t>
      </w:r>
      <w:bookmarkEnd w:id="2043315339"/>
    </w:p>
    <w:p w:rsidR="4C9258E6" w:rsidP="3A232ED9" w:rsidRDefault="7C54500E" w14:paraId="494C78ED" w14:textId="5CBEF72B">
      <w:pPr>
        <w:spacing w:line="257" w:lineRule="auto"/>
        <w:rPr>
          <w:rFonts w:ascii="Calibri" w:hAnsi="Calibri" w:eastAsia="Calibri" w:cs="Calibri"/>
          <w:color w:val="000000" w:themeColor="text1"/>
          <w:sz w:val="24"/>
          <w:szCs w:val="24"/>
        </w:rPr>
      </w:pPr>
      <w:r w:rsidRPr="3A232ED9">
        <w:rPr>
          <w:rFonts w:ascii="Calibri" w:hAnsi="Calibri" w:eastAsia="Calibri" w:cs="Calibri"/>
          <w:color w:val="000000" w:themeColor="text1"/>
          <w:sz w:val="24"/>
          <w:szCs w:val="24"/>
        </w:rPr>
        <w:t>Below shows the list of questions from the 2025 TEF survey that were analysed in this report.</w:t>
      </w:r>
    </w:p>
    <w:p w:rsidR="4C9258E6" w:rsidP="3A232ED9" w:rsidRDefault="7C54500E" w14:paraId="610BFCDC" w14:textId="775A8B29">
      <w:pPr>
        <w:spacing w:line="257" w:lineRule="auto"/>
        <w:rPr>
          <w:rFonts w:ascii="Aptos" w:hAnsi="Aptos" w:eastAsia="Aptos" w:cs="Aptos"/>
          <w:color w:val="000000" w:themeColor="text1"/>
          <w:sz w:val="24"/>
          <w:szCs w:val="24"/>
        </w:rPr>
      </w:pPr>
      <w:r w:rsidRPr="3A232ED9">
        <w:rPr>
          <w:rFonts w:ascii="Aptos" w:hAnsi="Aptos" w:eastAsia="Aptos" w:cs="Aptos"/>
          <w:b/>
          <w:bCs/>
          <w:color w:val="000000" w:themeColor="text1"/>
          <w:sz w:val="24"/>
          <w:szCs w:val="24"/>
          <w:lang w:val="en"/>
        </w:rPr>
        <w:t>Working environment and</w:t>
      </w:r>
      <w:r w:rsidRPr="3A232ED9">
        <w:rPr>
          <w:rFonts w:ascii="Aptos" w:hAnsi="Aptos" w:eastAsia="Aptos" w:cs="Aptos"/>
          <w:b/>
          <w:bCs/>
          <w:color w:val="000000" w:themeColor="text1"/>
          <w:sz w:val="24"/>
          <w:szCs w:val="24"/>
        </w:rPr>
        <w:t xml:space="preserve"> rota</w:t>
      </w:r>
      <w:r w:rsidRPr="3A232ED9">
        <w:rPr>
          <w:rFonts w:ascii="Aptos" w:hAnsi="Aptos" w:eastAsia="Aptos" w:cs="Aptos"/>
          <w:color w:val="000000" w:themeColor="text1"/>
          <w:sz w:val="24"/>
          <w:szCs w:val="24"/>
        </w:rPr>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15"/>
        <w:gridCol w:w="3213"/>
        <w:gridCol w:w="4882"/>
      </w:tblGrid>
      <w:tr w:rsidR="3A232ED9" w:rsidTr="3A232ED9" w14:paraId="4E179680"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6D960238" w14:textId="1519D40B">
            <w:pPr>
              <w:spacing w:line="257" w:lineRule="auto"/>
              <w:rPr>
                <w:rFonts w:ascii="Aptos" w:hAnsi="Aptos" w:eastAsia="Aptos" w:cs="Aptos"/>
                <w:sz w:val="24"/>
                <w:szCs w:val="24"/>
              </w:rPr>
            </w:pPr>
            <w:r w:rsidRPr="3A232ED9">
              <w:rPr>
                <w:rFonts w:ascii="Aptos" w:hAnsi="Aptos" w:eastAsia="Aptos" w:cs="Aptos"/>
                <w:sz w:val="24"/>
                <w:szCs w:val="24"/>
                <w:lang w:val="en"/>
              </w:rPr>
              <w:t>2.1</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35AD08E5" w14:textId="5A515DE6">
            <w:pPr>
              <w:spacing w:line="257" w:lineRule="auto"/>
              <w:rPr>
                <w:rFonts w:ascii="Aptos" w:hAnsi="Aptos" w:eastAsia="Aptos" w:cs="Aptos"/>
                <w:sz w:val="24"/>
                <w:szCs w:val="24"/>
              </w:rPr>
            </w:pPr>
            <w:r w:rsidRPr="3A232ED9">
              <w:rPr>
                <w:rFonts w:ascii="Aptos" w:hAnsi="Aptos" w:eastAsia="Aptos" w:cs="Aptos"/>
                <w:sz w:val="24"/>
                <w:szCs w:val="24"/>
                <w:lang w:val="en"/>
              </w:rPr>
              <w:t>Are there any gaps in the</w:t>
            </w:r>
            <w:r w:rsidRPr="3A232ED9">
              <w:rPr>
                <w:rFonts w:ascii="Aptos" w:hAnsi="Aptos" w:eastAsia="Aptos" w:cs="Aptos"/>
                <w:sz w:val="24"/>
                <w:szCs w:val="24"/>
              </w:rPr>
              <w:t xml:space="preserve"> rota</w:t>
            </w:r>
            <w:r w:rsidRPr="3A232ED9">
              <w:rPr>
                <w:rFonts w:ascii="Aptos" w:hAnsi="Aptos" w:eastAsia="Aptos" w:cs="Aptos"/>
                <w:sz w:val="24"/>
                <w:szCs w:val="24"/>
                <w:lang w:val="en"/>
              </w:rPr>
              <w:t xml:space="preserve"> at your level of training in your current unit?</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14BD719B" w14:textId="5972478A">
            <w:pPr>
              <w:spacing w:line="257" w:lineRule="auto"/>
              <w:rPr>
                <w:rFonts w:ascii="Aptos" w:hAnsi="Aptos" w:eastAsia="Aptos" w:cs="Aptos"/>
                <w:sz w:val="24"/>
                <w:szCs w:val="24"/>
              </w:rPr>
            </w:pPr>
            <w:r w:rsidRPr="3A232ED9">
              <w:rPr>
                <w:rFonts w:ascii="Aptos" w:hAnsi="Aptos" w:eastAsia="Aptos" w:cs="Aptos"/>
                <w:sz w:val="24"/>
                <w:szCs w:val="24"/>
                <w:lang w:val="en"/>
              </w:rPr>
              <w:t>Yes | No | Don't know</w:t>
            </w:r>
            <w:r w:rsidRPr="3A232ED9">
              <w:rPr>
                <w:rFonts w:ascii="Aptos" w:hAnsi="Aptos" w:eastAsia="Aptos" w:cs="Aptos"/>
                <w:sz w:val="24"/>
                <w:szCs w:val="24"/>
              </w:rPr>
              <w:t> </w:t>
            </w:r>
          </w:p>
        </w:tc>
      </w:tr>
      <w:tr w:rsidR="3A232ED9" w:rsidTr="3A232ED9" w14:paraId="24720D3B"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0A258184" w14:textId="2C674B5B">
            <w:pPr>
              <w:spacing w:line="257" w:lineRule="auto"/>
              <w:rPr>
                <w:rFonts w:ascii="Aptos" w:hAnsi="Aptos" w:eastAsia="Aptos" w:cs="Aptos"/>
                <w:sz w:val="24"/>
                <w:szCs w:val="24"/>
              </w:rPr>
            </w:pPr>
            <w:r w:rsidRPr="3A232ED9">
              <w:rPr>
                <w:rFonts w:ascii="Aptos" w:hAnsi="Aptos" w:eastAsia="Aptos" w:cs="Aptos"/>
                <w:sz w:val="24"/>
                <w:szCs w:val="24"/>
                <w:lang w:val="en"/>
              </w:rPr>
              <w:t>2.2</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2AB12860" w14:textId="5B1B762E">
            <w:pPr>
              <w:spacing w:line="257" w:lineRule="auto"/>
              <w:rPr>
                <w:rFonts w:ascii="Aptos" w:hAnsi="Aptos" w:eastAsia="Aptos" w:cs="Aptos"/>
                <w:sz w:val="24"/>
                <w:szCs w:val="24"/>
              </w:rPr>
            </w:pPr>
            <w:r w:rsidRPr="3A232ED9">
              <w:rPr>
                <w:rFonts w:ascii="Aptos" w:hAnsi="Aptos" w:eastAsia="Aptos" w:cs="Aptos"/>
                <w:sz w:val="24"/>
                <w:szCs w:val="24"/>
              </w:rPr>
              <w:t xml:space="preserve">What type of ST1-2 level (including junior cover by other doctors e.g. Foundation &amp; GP trainees)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rota does your unit have?</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2ACD41FF" w14:textId="0A2E2CFD">
            <w:pPr>
              <w:spacing w:line="257" w:lineRule="auto"/>
              <w:rPr>
                <w:rFonts w:ascii="Aptos" w:hAnsi="Aptos" w:eastAsia="Aptos" w:cs="Aptos"/>
                <w:sz w:val="24"/>
                <w:szCs w:val="24"/>
              </w:rPr>
            </w:pPr>
            <w:r w:rsidRPr="3A232ED9">
              <w:rPr>
                <w:rFonts w:ascii="Aptos" w:hAnsi="Aptos" w:eastAsia="Aptos" w:cs="Aptos"/>
                <w:sz w:val="24"/>
                <w:szCs w:val="24"/>
              </w:rPr>
              <w:t xml:space="preserve">ST 1-2 level doctor on call for obstetrics and gynaecology only | </w:t>
            </w:r>
          </w:p>
          <w:p w:rsidR="3A232ED9" w:rsidP="3A232ED9" w:rsidRDefault="3A232ED9" w14:paraId="56FF4A8A" w14:textId="1D1AE54D">
            <w:pPr>
              <w:spacing w:line="257" w:lineRule="auto"/>
              <w:rPr>
                <w:rFonts w:ascii="Aptos" w:hAnsi="Aptos" w:eastAsia="Aptos" w:cs="Aptos"/>
                <w:sz w:val="24"/>
                <w:szCs w:val="24"/>
              </w:rPr>
            </w:pPr>
            <w:r w:rsidRPr="3A232ED9">
              <w:rPr>
                <w:rFonts w:ascii="Aptos" w:hAnsi="Aptos" w:eastAsia="Aptos" w:cs="Aptos"/>
                <w:sz w:val="24"/>
                <w:szCs w:val="24"/>
              </w:rPr>
              <w:t xml:space="preserve">ST 1-2 level doctor on call for O&amp;G and other specialities | Other [No free text option] | Don't know </w:t>
            </w:r>
          </w:p>
          <w:p w:rsidR="3A232ED9" w:rsidP="3A232ED9" w:rsidRDefault="3A232ED9" w14:paraId="595184BC" w14:textId="04A41C0B">
            <w:pPr>
              <w:spacing w:line="257" w:lineRule="auto"/>
              <w:rPr>
                <w:rFonts w:ascii="Aptos" w:hAnsi="Aptos" w:eastAsia="Aptos" w:cs="Aptos"/>
                <w:sz w:val="24"/>
                <w:szCs w:val="24"/>
              </w:rPr>
            </w:pPr>
          </w:p>
        </w:tc>
      </w:tr>
      <w:tr w:rsidR="3A232ED9" w:rsidTr="3A232ED9" w14:paraId="358594C0"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71CBCE76" w14:textId="70AFC9BD">
            <w:pPr>
              <w:spacing w:line="257" w:lineRule="auto"/>
              <w:rPr>
                <w:rFonts w:ascii="Aptos" w:hAnsi="Aptos" w:eastAsia="Aptos" w:cs="Aptos"/>
                <w:sz w:val="24"/>
                <w:szCs w:val="24"/>
              </w:rPr>
            </w:pPr>
            <w:r w:rsidRPr="3A232ED9">
              <w:rPr>
                <w:rFonts w:ascii="Aptos" w:hAnsi="Aptos" w:eastAsia="Aptos" w:cs="Aptos"/>
                <w:sz w:val="24"/>
                <w:szCs w:val="24"/>
                <w:lang w:val="en"/>
              </w:rPr>
              <w:t>2.3</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15EAEE81" w14:textId="4049093D">
            <w:pPr>
              <w:spacing w:line="257" w:lineRule="auto"/>
              <w:rPr>
                <w:rFonts w:ascii="Aptos" w:hAnsi="Aptos" w:eastAsia="Aptos" w:cs="Aptos"/>
                <w:sz w:val="24"/>
                <w:szCs w:val="24"/>
              </w:rPr>
            </w:pPr>
            <w:r w:rsidRPr="3A232ED9">
              <w:rPr>
                <w:rFonts w:ascii="Aptos" w:hAnsi="Aptos" w:eastAsia="Aptos" w:cs="Aptos"/>
                <w:sz w:val="24"/>
                <w:szCs w:val="24"/>
                <w:lang w:val="en-US"/>
              </w:rPr>
              <w:t xml:space="preserve">If ST1-2 </w:t>
            </w:r>
            <w:proofErr w:type="spellStart"/>
            <w:r w:rsidRPr="3A232ED9">
              <w:rPr>
                <w:rFonts w:ascii="Aptos" w:hAnsi="Aptos" w:eastAsia="Aptos" w:cs="Aptos"/>
                <w:sz w:val="24"/>
                <w:szCs w:val="24"/>
                <w:lang w:val="en-US"/>
              </w:rPr>
              <w:t>oncall</w:t>
            </w:r>
            <w:proofErr w:type="spellEnd"/>
            <w:r w:rsidRPr="3A232ED9">
              <w:rPr>
                <w:rFonts w:ascii="Aptos" w:hAnsi="Aptos" w:eastAsia="Aptos" w:cs="Aptos"/>
                <w:sz w:val="24"/>
                <w:szCs w:val="24"/>
                <w:lang w:val="en-US"/>
              </w:rPr>
              <w:t xml:space="preserve"> for </w:t>
            </w:r>
            <w:proofErr w:type="gramStart"/>
            <w:r w:rsidRPr="3A232ED9">
              <w:rPr>
                <w:rFonts w:ascii="Aptos" w:hAnsi="Aptos" w:eastAsia="Aptos" w:cs="Aptos"/>
                <w:sz w:val="24"/>
                <w:szCs w:val="24"/>
                <w:lang w:val="en-US"/>
              </w:rPr>
              <w:t>other</w:t>
            </w:r>
            <w:proofErr w:type="gramEnd"/>
            <w:r w:rsidRPr="3A232ED9">
              <w:rPr>
                <w:rFonts w:ascii="Aptos" w:hAnsi="Aptos" w:eastAsia="Aptos" w:cs="Aptos"/>
                <w:sz w:val="24"/>
                <w:szCs w:val="24"/>
                <w:lang w:val="en-US"/>
              </w:rPr>
              <w:t xml:space="preserve"> </w:t>
            </w:r>
            <w:proofErr w:type="spellStart"/>
            <w:proofErr w:type="gramStart"/>
            <w:r w:rsidRPr="3A232ED9">
              <w:rPr>
                <w:rFonts w:ascii="Aptos" w:hAnsi="Aptos" w:eastAsia="Aptos" w:cs="Aptos"/>
                <w:sz w:val="24"/>
                <w:szCs w:val="24"/>
                <w:lang w:val="en-US"/>
              </w:rPr>
              <w:t>speciality</w:t>
            </w:r>
            <w:proofErr w:type="spellEnd"/>
            <w:proofErr w:type="gramEnd"/>
            <w:r w:rsidRPr="3A232ED9">
              <w:rPr>
                <w:rFonts w:ascii="Aptos" w:hAnsi="Aptos" w:eastAsia="Aptos" w:cs="Aptos"/>
                <w:sz w:val="24"/>
                <w:szCs w:val="24"/>
                <w:lang w:val="en-US"/>
              </w:rPr>
              <w:t xml:space="preserve"> please indicate which </w:t>
            </w:r>
            <w:proofErr w:type="spellStart"/>
            <w:r w:rsidRPr="3A232ED9">
              <w:rPr>
                <w:rFonts w:ascii="Aptos" w:hAnsi="Aptos" w:eastAsia="Aptos" w:cs="Aptos"/>
                <w:sz w:val="24"/>
                <w:szCs w:val="24"/>
                <w:lang w:val="en-US"/>
              </w:rPr>
              <w:t>speciality</w:t>
            </w:r>
            <w:proofErr w:type="spellEnd"/>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054238EA" w14:textId="03C6D848">
            <w:pPr>
              <w:spacing w:line="257" w:lineRule="auto"/>
              <w:rPr>
                <w:rFonts w:ascii="Aptos" w:hAnsi="Aptos" w:eastAsia="Aptos" w:cs="Aptos"/>
                <w:sz w:val="24"/>
                <w:szCs w:val="24"/>
              </w:rPr>
            </w:pPr>
            <w:r w:rsidRPr="3A232ED9">
              <w:rPr>
                <w:rFonts w:ascii="Aptos" w:hAnsi="Aptos" w:eastAsia="Aptos" w:cs="Aptos"/>
                <w:sz w:val="24"/>
                <w:szCs w:val="24"/>
              </w:rPr>
              <w:t>General Surgery | Orthopaedics | ENT | Urology | Paediatrics | General Medicine | Other [no free text option]</w:t>
            </w:r>
          </w:p>
        </w:tc>
      </w:tr>
      <w:tr w:rsidR="3A232ED9" w:rsidTr="3A232ED9" w14:paraId="0D5A693A"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3078E658" w14:textId="5D1412AE">
            <w:pPr>
              <w:spacing w:line="257" w:lineRule="auto"/>
              <w:rPr>
                <w:rFonts w:ascii="Aptos" w:hAnsi="Aptos" w:eastAsia="Aptos" w:cs="Aptos"/>
                <w:sz w:val="24"/>
                <w:szCs w:val="24"/>
              </w:rPr>
            </w:pPr>
            <w:r w:rsidRPr="3A232ED9">
              <w:rPr>
                <w:rFonts w:ascii="Aptos" w:hAnsi="Aptos" w:eastAsia="Aptos" w:cs="Aptos"/>
                <w:sz w:val="24"/>
                <w:szCs w:val="24"/>
                <w:lang w:val="en"/>
              </w:rPr>
              <w:t>2.4</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693F5B2E" w14:textId="0BAA190B">
            <w:pPr>
              <w:spacing w:line="257" w:lineRule="auto"/>
              <w:rPr>
                <w:rFonts w:ascii="Aptos" w:hAnsi="Aptos" w:eastAsia="Aptos" w:cs="Aptos"/>
                <w:sz w:val="24"/>
                <w:szCs w:val="24"/>
              </w:rPr>
            </w:pPr>
            <w:r w:rsidRPr="3A232ED9">
              <w:rPr>
                <w:rFonts w:ascii="Aptos" w:hAnsi="Aptos" w:eastAsia="Aptos" w:cs="Aptos"/>
                <w:sz w:val="24"/>
                <w:szCs w:val="24"/>
                <w:lang w:val="en-US"/>
              </w:rPr>
              <w:t xml:space="preserve">What type of middle grade </w:t>
            </w:r>
            <w:proofErr w:type="spellStart"/>
            <w:r w:rsidRPr="3A232ED9">
              <w:rPr>
                <w:rFonts w:ascii="Aptos" w:hAnsi="Aptos" w:eastAsia="Aptos" w:cs="Aptos"/>
                <w:sz w:val="24"/>
                <w:szCs w:val="24"/>
                <w:lang w:val="en-US"/>
              </w:rPr>
              <w:t>oncall</w:t>
            </w:r>
            <w:proofErr w:type="spellEnd"/>
            <w:r w:rsidRPr="3A232ED9">
              <w:rPr>
                <w:rFonts w:ascii="Aptos" w:hAnsi="Aptos" w:eastAsia="Aptos" w:cs="Aptos"/>
                <w:sz w:val="24"/>
                <w:szCs w:val="24"/>
                <w:lang w:val="en-US"/>
              </w:rPr>
              <w:t xml:space="preserve"> </w:t>
            </w:r>
            <w:proofErr w:type="spellStart"/>
            <w:r w:rsidRPr="3A232ED9">
              <w:rPr>
                <w:rFonts w:ascii="Aptos" w:hAnsi="Aptos" w:eastAsia="Aptos" w:cs="Aptos"/>
                <w:sz w:val="24"/>
                <w:szCs w:val="24"/>
                <w:lang w:val="en-US"/>
              </w:rPr>
              <w:t>rota</w:t>
            </w:r>
            <w:proofErr w:type="spellEnd"/>
            <w:r w:rsidRPr="3A232ED9">
              <w:rPr>
                <w:rFonts w:ascii="Aptos" w:hAnsi="Aptos" w:eastAsia="Aptos" w:cs="Aptos"/>
                <w:sz w:val="24"/>
                <w:szCs w:val="24"/>
                <w:lang w:val="en-US"/>
              </w:rPr>
              <w:t xml:space="preserve"> does your unit have during the </w:t>
            </w:r>
            <w:r w:rsidRPr="3A232ED9">
              <w:rPr>
                <w:rFonts w:ascii="Aptos" w:hAnsi="Aptos" w:eastAsia="Aptos" w:cs="Aptos"/>
                <w:sz w:val="24"/>
                <w:szCs w:val="24"/>
                <w:u w:val="single"/>
                <w:lang w:val="en-US"/>
              </w:rPr>
              <w:t>day,</w:t>
            </w:r>
            <w:r w:rsidRPr="3A232ED9">
              <w:rPr>
                <w:rFonts w:ascii="Aptos" w:hAnsi="Aptos" w:eastAsia="Aptos" w:cs="Aptos"/>
                <w:sz w:val="24"/>
                <w:szCs w:val="24"/>
                <w:lang w:val="en-US"/>
              </w:rPr>
              <w:t xml:space="preserve"> excluding consultant cover?</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051D18BC" w14:textId="00EEAE52">
            <w:pPr>
              <w:spacing w:line="257" w:lineRule="auto"/>
              <w:rPr>
                <w:rFonts w:ascii="Aptos" w:hAnsi="Aptos" w:eastAsia="Aptos" w:cs="Aptos"/>
                <w:sz w:val="24"/>
                <w:szCs w:val="24"/>
              </w:rPr>
            </w:pPr>
            <w:r w:rsidRPr="3A232ED9">
              <w:rPr>
                <w:rFonts w:ascii="Aptos" w:hAnsi="Aptos" w:eastAsia="Aptos" w:cs="Aptos"/>
                <w:sz w:val="24"/>
                <w:szCs w:val="24"/>
              </w:rPr>
              <w:t xml:space="preserve">Single middle grade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rota with ST1-2 level cover (including junior cover by other doctors e.g. Foundation &amp; GP trainees) |Single middle grade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rota without ST1-2 level cover (including junior cover by other doctors e.g. Foundation &amp; GP trainees) |Two tier middle grade rota with one senior and one junior middle grade with ST1-2 level cover (including junior cover by other doctors e.g. Foundation &amp; GP trainees) | Two tier middle grade rota with one senior and one junior middle grade without ST1-2 level cover (including junior cover by other doctors e.g. Foundation &amp; GP trainees) | Two middle grades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working at the same level with ST1-2 level cover (including junior cover by other doctors e.g. Foundation &amp; GP trainees) | Two middle grades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working at the same level without ST1-2 level cover (including junior cover by other doctors e.g. </w:t>
            </w:r>
            <w:r w:rsidRPr="3A232ED9">
              <w:rPr>
                <w:rFonts w:ascii="Aptos" w:hAnsi="Aptos" w:eastAsia="Aptos" w:cs="Aptos"/>
                <w:sz w:val="24"/>
                <w:szCs w:val="24"/>
              </w:rPr>
              <w:lastRenderedPageBreak/>
              <w:t>Foundation &amp; GP trainees) | Other [no free text option] | Don't know</w:t>
            </w:r>
          </w:p>
        </w:tc>
      </w:tr>
      <w:tr w:rsidR="3A232ED9" w:rsidTr="3A232ED9" w14:paraId="23D99436"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31754FB5" w14:textId="58C58CD8">
            <w:pPr>
              <w:spacing w:line="257" w:lineRule="auto"/>
              <w:rPr>
                <w:rFonts w:ascii="Aptos" w:hAnsi="Aptos" w:eastAsia="Aptos" w:cs="Aptos"/>
                <w:sz w:val="24"/>
                <w:szCs w:val="24"/>
              </w:rPr>
            </w:pPr>
            <w:r w:rsidRPr="3A232ED9">
              <w:rPr>
                <w:rFonts w:ascii="Aptos" w:hAnsi="Aptos" w:eastAsia="Aptos" w:cs="Aptos"/>
                <w:sz w:val="24"/>
                <w:szCs w:val="24"/>
                <w:lang w:val="en"/>
              </w:rPr>
              <w:lastRenderedPageBreak/>
              <w:t>2.65</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677CDA93" w14:textId="42A91898">
            <w:pPr>
              <w:spacing w:line="257" w:lineRule="auto"/>
              <w:rPr>
                <w:rFonts w:ascii="Aptos" w:hAnsi="Aptos" w:eastAsia="Aptos" w:cs="Aptos"/>
                <w:sz w:val="24"/>
                <w:szCs w:val="24"/>
              </w:rPr>
            </w:pPr>
            <w:r w:rsidRPr="3A232ED9">
              <w:rPr>
                <w:rFonts w:ascii="Aptos" w:hAnsi="Aptos" w:eastAsia="Aptos" w:cs="Aptos"/>
                <w:sz w:val="24"/>
                <w:szCs w:val="24"/>
                <w:lang w:val="en-US"/>
              </w:rPr>
              <w:t xml:space="preserve">What type of middle grade </w:t>
            </w:r>
            <w:proofErr w:type="spellStart"/>
            <w:r w:rsidRPr="3A232ED9">
              <w:rPr>
                <w:rFonts w:ascii="Aptos" w:hAnsi="Aptos" w:eastAsia="Aptos" w:cs="Aptos"/>
                <w:sz w:val="24"/>
                <w:szCs w:val="24"/>
                <w:lang w:val="en-US"/>
              </w:rPr>
              <w:t>oncall</w:t>
            </w:r>
            <w:proofErr w:type="spellEnd"/>
            <w:r w:rsidRPr="3A232ED9">
              <w:rPr>
                <w:rFonts w:ascii="Aptos" w:hAnsi="Aptos" w:eastAsia="Aptos" w:cs="Aptos"/>
                <w:sz w:val="24"/>
                <w:szCs w:val="24"/>
                <w:lang w:val="en-US"/>
              </w:rPr>
              <w:t xml:space="preserve"> </w:t>
            </w:r>
            <w:proofErr w:type="spellStart"/>
            <w:r w:rsidRPr="3A232ED9">
              <w:rPr>
                <w:rFonts w:ascii="Aptos" w:hAnsi="Aptos" w:eastAsia="Aptos" w:cs="Aptos"/>
                <w:sz w:val="24"/>
                <w:szCs w:val="24"/>
                <w:lang w:val="en-US"/>
              </w:rPr>
              <w:t>rota</w:t>
            </w:r>
            <w:proofErr w:type="spellEnd"/>
            <w:r w:rsidRPr="3A232ED9">
              <w:rPr>
                <w:rFonts w:ascii="Aptos" w:hAnsi="Aptos" w:eastAsia="Aptos" w:cs="Aptos"/>
                <w:sz w:val="24"/>
                <w:szCs w:val="24"/>
                <w:lang w:val="en-US"/>
              </w:rPr>
              <w:t xml:space="preserve"> does your unit have during the </w:t>
            </w:r>
            <w:r w:rsidRPr="3A232ED9">
              <w:rPr>
                <w:rFonts w:ascii="Aptos" w:hAnsi="Aptos" w:eastAsia="Aptos" w:cs="Aptos"/>
                <w:sz w:val="24"/>
                <w:szCs w:val="24"/>
                <w:u w:val="single"/>
                <w:lang w:val="en-US"/>
              </w:rPr>
              <w:t>night,</w:t>
            </w:r>
            <w:r w:rsidRPr="3A232ED9">
              <w:rPr>
                <w:rFonts w:ascii="Aptos" w:hAnsi="Aptos" w:eastAsia="Aptos" w:cs="Aptos"/>
                <w:sz w:val="24"/>
                <w:szCs w:val="24"/>
                <w:lang w:val="en-US"/>
              </w:rPr>
              <w:t xml:space="preserve"> excluding </w:t>
            </w:r>
            <w:proofErr w:type="spellStart"/>
            <w:proofErr w:type="gramStart"/>
            <w:r w:rsidRPr="3A232ED9">
              <w:rPr>
                <w:rFonts w:ascii="Aptos" w:hAnsi="Aptos" w:eastAsia="Aptos" w:cs="Aptos"/>
                <w:sz w:val="24"/>
                <w:szCs w:val="24"/>
                <w:lang w:val="en-US"/>
              </w:rPr>
              <w:t>non resident</w:t>
            </w:r>
            <w:proofErr w:type="spellEnd"/>
            <w:proofErr w:type="gramEnd"/>
            <w:r w:rsidRPr="3A232ED9">
              <w:rPr>
                <w:rFonts w:ascii="Aptos" w:hAnsi="Aptos" w:eastAsia="Aptos" w:cs="Aptos"/>
                <w:sz w:val="24"/>
                <w:szCs w:val="24"/>
                <w:lang w:val="en-US"/>
              </w:rPr>
              <w:t xml:space="preserve"> consultant cover?</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5A07CCD2" w14:textId="3A463CAA">
            <w:pPr>
              <w:spacing w:line="257" w:lineRule="auto"/>
              <w:rPr>
                <w:rFonts w:ascii="Aptos" w:hAnsi="Aptos" w:eastAsia="Aptos" w:cs="Aptos"/>
                <w:sz w:val="24"/>
                <w:szCs w:val="24"/>
              </w:rPr>
            </w:pPr>
            <w:r w:rsidRPr="3A232ED9">
              <w:rPr>
                <w:rFonts w:ascii="Aptos" w:hAnsi="Aptos" w:eastAsia="Aptos" w:cs="Aptos"/>
                <w:sz w:val="24"/>
                <w:szCs w:val="24"/>
                <w:lang w:val="en-US"/>
              </w:rPr>
              <w:t> </w:t>
            </w:r>
            <w:r w:rsidRPr="3A232ED9">
              <w:rPr>
                <w:rFonts w:ascii="Aptos" w:hAnsi="Aptos" w:eastAsia="Aptos" w:cs="Aptos"/>
                <w:sz w:val="24"/>
                <w:szCs w:val="24"/>
              </w:rPr>
              <w:t xml:space="preserve">Single middle grade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rota with ST1-2 level cover (including junior cover by other doctors e.g. Foundation &amp; GP trainees) |Single middle grade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rota without ST1-2 level cover (including junior cover by other doctors e.g. Foundation &amp; GP trainees) |Two tier middle grade rota with one senior and one junior middle grade with ST1-2 level cover (including junior cover by other doctors e.g. Foundation &amp; GP trainees) | Two tier middle grade rota with one senior and one junior middle grade without ST1-2 level cover (including junior cover by other doctors e.g. Foundation &amp; GP trainees) | Two middle grades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working at the same level with ST1-2 level cover (including junior cover by other doctors e.g. Foundation &amp; GP trainees) | Two middle grades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working at the same level without ST1-2 level cover (including junior cover by other doctors e.g. Foundation &amp; GP trainees) | Other [no free text option] | Don't know</w:t>
            </w:r>
          </w:p>
        </w:tc>
      </w:tr>
      <w:tr w:rsidR="3A232ED9" w:rsidTr="3A232ED9" w14:paraId="4F7C04C4"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06D985F6" w14:textId="60E356C0">
            <w:pPr>
              <w:spacing w:line="257" w:lineRule="auto"/>
              <w:rPr>
                <w:rFonts w:ascii="Aptos" w:hAnsi="Aptos" w:eastAsia="Aptos" w:cs="Aptos"/>
                <w:sz w:val="24"/>
                <w:szCs w:val="24"/>
              </w:rPr>
            </w:pPr>
            <w:r w:rsidRPr="3A232ED9">
              <w:rPr>
                <w:rFonts w:ascii="Aptos" w:hAnsi="Aptos" w:eastAsia="Aptos" w:cs="Aptos"/>
                <w:sz w:val="24"/>
                <w:szCs w:val="24"/>
                <w:lang w:val="en"/>
              </w:rPr>
              <w:t>2.6</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78A0E4E7" w14:textId="167DA8A1">
            <w:pPr>
              <w:spacing w:line="257" w:lineRule="auto"/>
              <w:rPr>
                <w:rFonts w:ascii="Aptos" w:hAnsi="Aptos" w:eastAsia="Aptos" w:cs="Aptos"/>
                <w:sz w:val="24"/>
                <w:szCs w:val="24"/>
              </w:rPr>
            </w:pPr>
            <w:r w:rsidRPr="3A232ED9">
              <w:rPr>
                <w:rFonts w:ascii="Aptos" w:hAnsi="Aptos" w:eastAsia="Aptos" w:cs="Aptos"/>
                <w:sz w:val="24"/>
                <w:szCs w:val="24"/>
                <w:lang w:val="en-US"/>
              </w:rPr>
              <w:t xml:space="preserve">Is the senior middle grade resident or </w:t>
            </w:r>
            <w:proofErr w:type="spellStart"/>
            <w:r w:rsidRPr="3A232ED9">
              <w:rPr>
                <w:rFonts w:ascii="Aptos" w:hAnsi="Aptos" w:eastAsia="Aptos" w:cs="Aptos"/>
                <w:sz w:val="24"/>
                <w:szCs w:val="24"/>
                <w:lang w:val="en-US"/>
              </w:rPr>
              <w:t>oncall</w:t>
            </w:r>
            <w:proofErr w:type="spellEnd"/>
            <w:r w:rsidRPr="3A232ED9">
              <w:rPr>
                <w:rFonts w:ascii="Aptos" w:hAnsi="Aptos" w:eastAsia="Aptos" w:cs="Aptos"/>
                <w:sz w:val="24"/>
                <w:szCs w:val="24"/>
                <w:lang w:val="en-US"/>
              </w:rPr>
              <w:t xml:space="preserve"> from home at night?</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42F6506B" w14:textId="0CEA586B">
            <w:pPr>
              <w:spacing w:line="257" w:lineRule="auto"/>
              <w:rPr>
                <w:rFonts w:ascii="Aptos" w:hAnsi="Aptos" w:eastAsia="Aptos" w:cs="Aptos"/>
                <w:sz w:val="24"/>
                <w:szCs w:val="24"/>
              </w:rPr>
            </w:pPr>
            <w:r w:rsidRPr="3A232ED9">
              <w:rPr>
                <w:rFonts w:ascii="Aptos" w:hAnsi="Aptos" w:eastAsia="Aptos" w:cs="Aptos"/>
                <w:sz w:val="24"/>
                <w:szCs w:val="24"/>
              </w:rPr>
              <w:t xml:space="preserve">Resident |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from home | On site for </w:t>
            </w:r>
            <w:proofErr w:type="gramStart"/>
            <w:r w:rsidRPr="3A232ED9">
              <w:rPr>
                <w:rFonts w:ascii="Aptos" w:hAnsi="Aptos" w:eastAsia="Aptos" w:cs="Aptos"/>
                <w:sz w:val="24"/>
                <w:szCs w:val="24"/>
              </w:rPr>
              <w:t>a period of time</w:t>
            </w:r>
            <w:proofErr w:type="gramEnd"/>
            <w:r w:rsidRPr="3A232ED9">
              <w:rPr>
                <w:rFonts w:ascii="Aptos" w:hAnsi="Aptos" w:eastAsia="Aptos" w:cs="Aptos"/>
                <w:sz w:val="24"/>
                <w:szCs w:val="24"/>
              </w:rPr>
              <w:t xml:space="preserve"> then resident from home | No senior middle grade | Don't know | Other [no free text option]</w:t>
            </w:r>
          </w:p>
        </w:tc>
      </w:tr>
      <w:tr w:rsidR="3A232ED9" w:rsidTr="3A232ED9" w14:paraId="49C5104B"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7BA16E1B" w14:textId="5FFF4FE2">
            <w:pPr>
              <w:spacing w:line="257" w:lineRule="auto"/>
              <w:rPr>
                <w:rFonts w:ascii="Aptos" w:hAnsi="Aptos" w:eastAsia="Aptos" w:cs="Aptos"/>
                <w:sz w:val="24"/>
                <w:szCs w:val="24"/>
              </w:rPr>
            </w:pPr>
            <w:r w:rsidRPr="3A232ED9">
              <w:rPr>
                <w:rFonts w:ascii="Aptos" w:hAnsi="Aptos" w:eastAsia="Aptos" w:cs="Aptos"/>
                <w:sz w:val="24"/>
                <w:szCs w:val="24"/>
                <w:lang w:val="en"/>
              </w:rPr>
              <w:t>2.7</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484ECC6B" w14:textId="4F7CC987">
            <w:pPr>
              <w:spacing w:line="257" w:lineRule="auto"/>
              <w:rPr>
                <w:rFonts w:ascii="Aptos" w:hAnsi="Aptos" w:eastAsia="Aptos" w:cs="Aptos"/>
                <w:sz w:val="24"/>
                <w:szCs w:val="24"/>
              </w:rPr>
            </w:pPr>
            <w:r w:rsidRPr="3A232ED9">
              <w:rPr>
                <w:rFonts w:ascii="Aptos" w:hAnsi="Aptos" w:eastAsia="Aptos" w:cs="Aptos"/>
                <w:sz w:val="24"/>
                <w:szCs w:val="24"/>
                <w:lang w:val="en"/>
              </w:rPr>
              <w:t>For how many days in the week is there a consultant resident overnight?</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684CC16B" w14:textId="78632A22">
            <w:pPr>
              <w:spacing w:line="257" w:lineRule="auto"/>
              <w:rPr>
                <w:rFonts w:ascii="Aptos" w:hAnsi="Aptos" w:eastAsia="Aptos" w:cs="Aptos"/>
                <w:sz w:val="24"/>
                <w:szCs w:val="24"/>
              </w:rPr>
            </w:pPr>
            <w:r w:rsidRPr="3A232ED9">
              <w:rPr>
                <w:rFonts w:ascii="Aptos" w:hAnsi="Aptos" w:eastAsia="Aptos" w:cs="Aptos"/>
                <w:sz w:val="24"/>
                <w:szCs w:val="24"/>
              </w:rPr>
              <w:t xml:space="preserve">0 | 1 | 2 | 3 | 4 | 5 | 6 | 7 | Other [no free text </w:t>
            </w:r>
            <w:proofErr w:type="gramStart"/>
            <w:r w:rsidRPr="3A232ED9">
              <w:rPr>
                <w:rFonts w:ascii="Aptos" w:hAnsi="Aptos" w:eastAsia="Aptos" w:cs="Aptos"/>
                <w:sz w:val="24"/>
                <w:szCs w:val="24"/>
              </w:rPr>
              <w:t>option]|</w:t>
            </w:r>
            <w:proofErr w:type="gramEnd"/>
            <w:r w:rsidRPr="3A232ED9">
              <w:rPr>
                <w:rFonts w:ascii="Aptos" w:hAnsi="Aptos" w:eastAsia="Aptos" w:cs="Aptos"/>
                <w:sz w:val="24"/>
                <w:szCs w:val="24"/>
              </w:rPr>
              <w:t>Don't know</w:t>
            </w:r>
          </w:p>
        </w:tc>
      </w:tr>
      <w:tr w:rsidR="3A232ED9" w:rsidTr="3A232ED9" w14:paraId="24BF3C44"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3234C21E" w14:textId="02C50DBE">
            <w:pPr>
              <w:spacing w:line="257" w:lineRule="auto"/>
              <w:rPr>
                <w:rFonts w:ascii="Aptos" w:hAnsi="Aptos" w:eastAsia="Aptos" w:cs="Aptos"/>
                <w:sz w:val="24"/>
                <w:szCs w:val="24"/>
              </w:rPr>
            </w:pPr>
            <w:r w:rsidRPr="3A232ED9">
              <w:rPr>
                <w:rFonts w:ascii="Aptos" w:hAnsi="Aptos" w:eastAsia="Aptos" w:cs="Aptos"/>
                <w:sz w:val="24"/>
                <w:szCs w:val="24"/>
                <w:lang w:val="en"/>
              </w:rPr>
              <w:t>2.8</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20D88E27" w14:textId="46FA3596">
            <w:pPr>
              <w:spacing w:line="257" w:lineRule="auto"/>
              <w:rPr>
                <w:rFonts w:ascii="Aptos" w:hAnsi="Aptos" w:eastAsia="Aptos" w:cs="Aptos"/>
                <w:sz w:val="24"/>
                <w:szCs w:val="24"/>
              </w:rPr>
            </w:pPr>
            <w:r w:rsidRPr="3A232ED9">
              <w:rPr>
                <w:rFonts w:ascii="Aptos" w:hAnsi="Aptos" w:eastAsia="Aptos" w:cs="Aptos"/>
                <w:sz w:val="24"/>
                <w:szCs w:val="24"/>
                <w:lang w:val="en-US"/>
              </w:rPr>
              <w:t>There are appropriate arrangements made for covering consultant absence in outpatient clinics</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E599" w:themeFill="accent4" w:themeFillTint="66"/>
          </w:tcPr>
          <w:p w:rsidR="3A232ED9" w:rsidP="3A232ED9" w:rsidRDefault="3A232ED9" w14:paraId="7A1C2A71" w14:textId="7534A2BC">
            <w:pPr>
              <w:spacing w:line="257" w:lineRule="auto"/>
              <w:rPr>
                <w:rFonts w:ascii="Aptos" w:hAnsi="Aptos" w:eastAsia="Aptos" w:cs="Aptos"/>
                <w:sz w:val="24"/>
                <w:szCs w:val="24"/>
              </w:rPr>
            </w:pPr>
            <w:r w:rsidRPr="3A232ED9">
              <w:rPr>
                <w:rFonts w:ascii="Aptos" w:hAnsi="Aptos" w:eastAsia="Aptos" w:cs="Aptos"/>
                <w:sz w:val="24"/>
                <w:szCs w:val="24"/>
                <w:lang w:val="en"/>
              </w:rPr>
              <w:t>Yes |No | Don't know</w:t>
            </w:r>
            <w:r w:rsidRPr="3A232ED9">
              <w:rPr>
                <w:rFonts w:ascii="Aptos" w:hAnsi="Aptos" w:eastAsia="Aptos" w:cs="Aptos"/>
                <w:sz w:val="24"/>
                <w:szCs w:val="24"/>
              </w:rPr>
              <w:t> </w:t>
            </w:r>
          </w:p>
        </w:tc>
      </w:tr>
      <w:tr w:rsidR="3A232ED9" w:rsidTr="3A232ED9" w14:paraId="17432EF5"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01E4B920" w14:textId="3821A12C">
            <w:pPr>
              <w:spacing w:line="257" w:lineRule="auto"/>
              <w:rPr>
                <w:rFonts w:ascii="Aptos" w:hAnsi="Aptos" w:eastAsia="Aptos" w:cs="Aptos"/>
                <w:sz w:val="24"/>
                <w:szCs w:val="24"/>
              </w:rPr>
            </w:pPr>
            <w:r w:rsidRPr="3A232ED9">
              <w:rPr>
                <w:rFonts w:ascii="Aptos" w:hAnsi="Aptos" w:eastAsia="Aptos" w:cs="Aptos"/>
                <w:sz w:val="24"/>
                <w:szCs w:val="24"/>
                <w:lang w:val="en"/>
              </w:rPr>
              <w:t>2.9</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93B39D1" w14:textId="637997FC">
            <w:pPr>
              <w:spacing w:line="257" w:lineRule="auto"/>
              <w:rPr>
                <w:rFonts w:ascii="Aptos" w:hAnsi="Aptos" w:eastAsia="Aptos" w:cs="Aptos"/>
                <w:sz w:val="24"/>
                <w:szCs w:val="24"/>
              </w:rPr>
            </w:pPr>
            <w:r w:rsidRPr="3A232ED9">
              <w:rPr>
                <w:rFonts w:ascii="Aptos" w:hAnsi="Aptos" w:eastAsia="Aptos" w:cs="Aptos"/>
                <w:sz w:val="24"/>
                <w:szCs w:val="24"/>
              </w:rPr>
              <w:t>Which clinical activities have you been asked to undertake for your level of training without what you consider to be appropriate consultant supervision?</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5D7FE468" w14:textId="60B23652">
            <w:pPr>
              <w:spacing w:line="257" w:lineRule="auto"/>
              <w:rPr>
                <w:rFonts w:ascii="Aptos" w:hAnsi="Aptos" w:eastAsia="Aptos" w:cs="Aptos"/>
                <w:sz w:val="24"/>
                <w:szCs w:val="24"/>
              </w:rPr>
            </w:pPr>
            <w:r w:rsidRPr="3A232ED9">
              <w:rPr>
                <w:rFonts w:ascii="Aptos" w:hAnsi="Aptos" w:eastAsia="Aptos" w:cs="Aptos"/>
                <w:sz w:val="24"/>
                <w:szCs w:val="24"/>
              </w:rPr>
              <w:t>Labour ward | Antenatal clinic | Gynae/outpatient clinic |Theatre | Planned caesarean birth list | Other | None</w:t>
            </w:r>
          </w:p>
        </w:tc>
      </w:tr>
      <w:tr w:rsidR="3A232ED9" w:rsidTr="3A232ED9" w14:paraId="6AAE63B2"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5D25A13F" w14:textId="46BEE452">
            <w:pPr>
              <w:spacing w:line="257" w:lineRule="auto"/>
              <w:rPr>
                <w:rFonts w:ascii="Aptos" w:hAnsi="Aptos" w:eastAsia="Aptos" w:cs="Aptos"/>
                <w:sz w:val="24"/>
                <w:szCs w:val="24"/>
              </w:rPr>
            </w:pPr>
            <w:r w:rsidRPr="3A232ED9">
              <w:rPr>
                <w:rFonts w:ascii="Aptos" w:hAnsi="Aptos" w:eastAsia="Aptos" w:cs="Aptos"/>
                <w:sz w:val="24"/>
                <w:szCs w:val="24"/>
                <w:lang w:val="en"/>
              </w:rPr>
              <w:lastRenderedPageBreak/>
              <w:t>2.10</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7B7D80D7" w14:textId="1ADCCD22">
            <w:pPr>
              <w:spacing w:line="257" w:lineRule="auto"/>
              <w:rPr>
                <w:rFonts w:ascii="Aptos" w:hAnsi="Aptos" w:eastAsia="Aptos" w:cs="Aptos"/>
                <w:sz w:val="24"/>
                <w:szCs w:val="24"/>
              </w:rPr>
            </w:pPr>
            <w:r w:rsidRPr="3A232ED9">
              <w:rPr>
                <w:rFonts w:ascii="Aptos" w:hAnsi="Aptos" w:eastAsia="Aptos" w:cs="Aptos"/>
                <w:sz w:val="24"/>
                <w:szCs w:val="24"/>
                <w:lang w:val="en"/>
              </w:rPr>
              <w:t>Has your unit got a policy for when a consultant must attend?</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52803FAD" w14:textId="72B2B210">
            <w:pPr>
              <w:spacing w:line="257" w:lineRule="auto"/>
              <w:rPr>
                <w:rFonts w:ascii="Aptos" w:hAnsi="Aptos" w:eastAsia="Aptos" w:cs="Aptos"/>
                <w:sz w:val="24"/>
                <w:szCs w:val="24"/>
              </w:rPr>
            </w:pPr>
            <w:r w:rsidRPr="3A232ED9">
              <w:rPr>
                <w:rFonts w:ascii="Aptos" w:hAnsi="Aptos" w:eastAsia="Aptos" w:cs="Aptos"/>
                <w:sz w:val="24"/>
                <w:szCs w:val="24"/>
                <w:lang w:val="en"/>
              </w:rPr>
              <w:t>Yes |No | Don't know</w:t>
            </w:r>
            <w:r w:rsidRPr="3A232ED9">
              <w:rPr>
                <w:rFonts w:ascii="Aptos" w:hAnsi="Aptos" w:eastAsia="Aptos" w:cs="Aptos"/>
                <w:sz w:val="24"/>
                <w:szCs w:val="24"/>
              </w:rPr>
              <w:t> </w:t>
            </w:r>
          </w:p>
        </w:tc>
      </w:tr>
      <w:tr w:rsidR="3A232ED9" w:rsidTr="3A232ED9" w14:paraId="10F2E9DB"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728DED31" w14:textId="7691AAC2">
            <w:pPr>
              <w:spacing w:line="257" w:lineRule="auto"/>
              <w:rPr>
                <w:rFonts w:ascii="Aptos" w:hAnsi="Aptos" w:eastAsia="Aptos" w:cs="Aptos"/>
                <w:sz w:val="24"/>
                <w:szCs w:val="24"/>
              </w:rPr>
            </w:pPr>
            <w:r w:rsidRPr="3A232ED9">
              <w:rPr>
                <w:rFonts w:ascii="Aptos" w:hAnsi="Aptos" w:eastAsia="Aptos" w:cs="Aptos"/>
                <w:sz w:val="24"/>
                <w:szCs w:val="24"/>
                <w:lang w:val="en"/>
              </w:rPr>
              <w:t>2.10.1</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1B4A0C0F" w14:textId="59BE4EA8">
            <w:pPr>
              <w:spacing w:line="257" w:lineRule="auto"/>
              <w:rPr>
                <w:rFonts w:ascii="Aptos" w:hAnsi="Aptos" w:eastAsia="Aptos" w:cs="Aptos"/>
                <w:sz w:val="24"/>
                <w:szCs w:val="24"/>
              </w:rPr>
            </w:pPr>
            <w:r w:rsidRPr="3A232ED9">
              <w:rPr>
                <w:rFonts w:ascii="Aptos" w:hAnsi="Aptos" w:eastAsia="Aptos" w:cs="Aptos"/>
                <w:sz w:val="24"/>
                <w:szCs w:val="24"/>
                <w:lang w:val="en-US"/>
              </w:rPr>
              <w:t xml:space="preserve">Have you requested a consultant to attend under these </w:t>
            </w:r>
            <w:proofErr w:type="gramStart"/>
            <w:r w:rsidRPr="3A232ED9">
              <w:rPr>
                <w:rFonts w:ascii="Aptos" w:hAnsi="Aptos" w:eastAsia="Aptos" w:cs="Aptos"/>
                <w:sz w:val="24"/>
                <w:szCs w:val="24"/>
                <w:lang w:val="en-US"/>
              </w:rPr>
              <w:t>conditions</w:t>
            </w:r>
            <w:proofErr w:type="gramEnd"/>
            <w:r w:rsidRPr="3A232ED9">
              <w:rPr>
                <w:rFonts w:ascii="Aptos" w:hAnsi="Aptos" w:eastAsia="Aptos" w:cs="Aptos"/>
                <w:sz w:val="24"/>
                <w:szCs w:val="24"/>
                <w:lang w:val="en-US"/>
              </w:rPr>
              <w:t xml:space="preserve"> but they did not?</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67A15612" w14:textId="585AEC88">
            <w:pPr>
              <w:spacing w:line="257" w:lineRule="auto"/>
              <w:rPr>
                <w:rFonts w:ascii="Aptos" w:hAnsi="Aptos" w:eastAsia="Aptos" w:cs="Aptos"/>
                <w:sz w:val="24"/>
                <w:szCs w:val="24"/>
              </w:rPr>
            </w:pPr>
            <w:r w:rsidRPr="3A232ED9">
              <w:rPr>
                <w:rFonts w:ascii="Aptos" w:hAnsi="Aptos" w:eastAsia="Aptos" w:cs="Aptos"/>
                <w:sz w:val="24"/>
                <w:szCs w:val="24"/>
                <w:lang w:val="en"/>
              </w:rPr>
              <w:t>Yes |No</w:t>
            </w:r>
            <w:r w:rsidRPr="3A232ED9">
              <w:rPr>
                <w:rFonts w:ascii="Aptos" w:hAnsi="Aptos" w:eastAsia="Aptos" w:cs="Aptos"/>
                <w:sz w:val="24"/>
                <w:szCs w:val="24"/>
              </w:rPr>
              <w:t> </w:t>
            </w:r>
          </w:p>
        </w:tc>
      </w:tr>
      <w:tr w:rsidR="3A232ED9" w:rsidTr="3A232ED9" w14:paraId="5DE4C84F" w14:textId="77777777">
        <w:trPr>
          <w:trHeight w:val="84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3BE07BEB" w14:textId="03C9FF28">
            <w:pPr>
              <w:spacing w:line="257" w:lineRule="auto"/>
              <w:rPr>
                <w:rFonts w:ascii="Aptos" w:hAnsi="Aptos" w:eastAsia="Aptos" w:cs="Aptos"/>
                <w:sz w:val="24"/>
                <w:szCs w:val="24"/>
              </w:rPr>
            </w:pPr>
            <w:r w:rsidRPr="3A232ED9">
              <w:rPr>
                <w:rFonts w:ascii="Aptos" w:hAnsi="Aptos" w:eastAsia="Aptos" w:cs="Aptos"/>
                <w:sz w:val="24"/>
                <w:szCs w:val="24"/>
                <w:lang w:val="en"/>
              </w:rPr>
              <w:t>2.11</w:t>
            </w:r>
            <w:r w:rsidRPr="3A232ED9">
              <w:rPr>
                <w:rFonts w:ascii="Aptos" w:hAnsi="Aptos" w:eastAsia="Aptos" w:cs="Aptos"/>
                <w:sz w:val="24"/>
                <w:szCs w:val="24"/>
              </w:rPr>
              <w:t> </w:t>
            </w:r>
          </w:p>
        </w:tc>
        <w:tc>
          <w:tcPr>
            <w:tcW w:w="82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21E3F2EE" w14:textId="393CE6C2">
            <w:pPr>
              <w:spacing w:line="257" w:lineRule="auto"/>
              <w:rPr>
                <w:rFonts w:ascii="Aptos" w:hAnsi="Aptos" w:eastAsia="Aptos" w:cs="Aptos"/>
                <w:sz w:val="24"/>
                <w:szCs w:val="24"/>
              </w:rPr>
            </w:pPr>
            <w:r w:rsidRPr="3A232ED9">
              <w:rPr>
                <w:rFonts w:ascii="Aptos" w:hAnsi="Aptos" w:eastAsia="Aptos" w:cs="Aptos"/>
                <w:sz w:val="24"/>
                <w:szCs w:val="24"/>
                <w:lang w:val="en"/>
              </w:rPr>
              <w:t>To what extent do you agree or disagree with the following statements?</w:t>
            </w:r>
            <w:r w:rsidRPr="3A232ED9">
              <w:rPr>
                <w:rFonts w:ascii="Aptos" w:hAnsi="Aptos" w:eastAsia="Aptos" w:cs="Aptos"/>
                <w:sz w:val="24"/>
                <w:szCs w:val="24"/>
              </w:rPr>
              <w:t> </w:t>
            </w:r>
          </w:p>
          <w:p w:rsidR="3A232ED9" w:rsidP="3A232ED9" w:rsidRDefault="3A232ED9" w14:paraId="4A9058A4" w14:textId="3AD145FB">
            <w:pPr>
              <w:spacing w:line="257" w:lineRule="auto"/>
              <w:rPr>
                <w:rFonts w:ascii="Aptos" w:hAnsi="Aptos" w:eastAsia="Aptos" w:cs="Aptos"/>
                <w:sz w:val="24"/>
                <w:szCs w:val="24"/>
              </w:rPr>
            </w:pPr>
            <w:r w:rsidRPr="3A232ED9">
              <w:rPr>
                <w:rFonts w:ascii="Aptos" w:hAnsi="Aptos" w:eastAsia="Aptos" w:cs="Aptos"/>
                <w:sz w:val="24"/>
                <w:szCs w:val="24"/>
                <w:lang w:val="en"/>
              </w:rPr>
              <w:t> </w:t>
            </w:r>
            <w:r w:rsidRPr="3A232ED9">
              <w:rPr>
                <w:rFonts w:ascii="Aptos" w:hAnsi="Aptos" w:eastAsia="Aptos" w:cs="Aptos"/>
                <w:sz w:val="24"/>
                <w:szCs w:val="24"/>
              </w:rPr>
              <w:t> </w:t>
            </w:r>
          </w:p>
        </w:tc>
      </w:tr>
      <w:tr w:rsidR="3A232ED9" w:rsidTr="3A232ED9" w14:paraId="556FD931"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54D2CD4C" w14:textId="474CED92">
            <w:pPr>
              <w:spacing w:line="257" w:lineRule="auto"/>
              <w:rPr>
                <w:rFonts w:ascii="Aptos" w:hAnsi="Aptos" w:eastAsia="Aptos" w:cs="Aptos"/>
                <w:sz w:val="24"/>
                <w:szCs w:val="24"/>
              </w:rPr>
            </w:pPr>
            <w:r w:rsidRPr="3A232ED9">
              <w:rPr>
                <w:rFonts w:ascii="Aptos" w:hAnsi="Aptos" w:eastAsia="Aptos" w:cs="Aptos"/>
                <w:sz w:val="24"/>
                <w:szCs w:val="24"/>
                <w:lang w:val="en"/>
              </w:rPr>
              <w:t>2.11.1</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02CF4321" w14:textId="49DC40CE">
            <w:pPr>
              <w:spacing w:line="257" w:lineRule="auto"/>
              <w:rPr>
                <w:rFonts w:ascii="Aptos" w:hAnsi="Aptos" w:eastAsia="Aptos" w:cs="Aptos"/>
                <w:sz w:val="24"/>
                <w:szCs w:val="24"/>
              </w:rPr>
            </w:pPr>
            <w:r w:rsidRPr="3A232ED9">
              <w:rPr>
                <w:rFonts w:ascii="Aptos" w:hAnsi="Aptos" w:eastAsia="Aptos" w:cs="Aptos"/>
                <w:sz w:val="24"/>
                <w:szCs w:val="24"/>
                <w:lang w:val="en"/>
              </w:rPr>
              <w:t>The work intensity is too high for my learning needs</w:t>
            </w:r>
            <w:r w:rsidRPr="3A232ED9">
              <w:rPr>
                <w:rFonts w:ascii="Aptos" w:hAnsi="Aptos" w:eastAsia="Aptos" w:cs="Aptos"/>
                <w:sz w:val="24"/>
                <w:szCs w:val="24"/>
              </w:rPr>
              <w:t> </w:t>
            </w:r>
          </w:p>
        </w:tc>
        <w:tc>
          <w:tcPr>
            <w:tcW w:w="4995" w:type="dxa"/>
            <w:tcBorders>
              <w:top w:val="nil"/>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0CBE5F63" w14:textId="1E22A3DC">
            <w:pPr>
              <w:spacing w:line="257" w:lineRule="auto"/>
              <w:rPr>
                <w:rFonts w:ascii="Aptos" w:hAnsi="Aptos" w:eastAsia="Aptos" w:cs="Aptos"/>
                <w:sz w:val="24"/>
                <w:szCs w:val="24"/>
              </w:rPr>
            </w:pPr>
            <w:r w:rsidRPr="3A232ED9">
              <w:rPr>
                <w:rFonts w:ascii="Aptos" w:hAnsi="Aptos" w:eastAsia="Aptos" w:cs="Aptos"/>
                <w:sz w:val="24"/>
                <w:szCs w:val="24"/>
                <w:lang w:val="en"/>
              </w:rPr>
              <w:t>Strongly Agree | Agree | Neither Agree nor Disagree | Disagree | Strongly Disagree</w:t>
            </w:r>
            <w:r w:rsidRPr="3A232ED9">
              <w:rPr>
                <w:rFonts w:ascii="Aptos" w:hAnsi="Aptos" w:eastAsia="Aptos" w:cs="Aptos"/>
                <w:sz w:val="24"/>
                <w:szCs w:val="24"/>
              </w:rPr>
              <w:t> </w:t>
            </w:r>
          </w:p>
        </w:tc>
      </w:tr>
      <w:tr w:rsidR="3A232ED9" w:rsidTr="3A232ED9" w14:paraId="7C4C24E9"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08286AD3" w14:textId="703CEFE5">
            <w:pPr>
              <w:spacing w:line="257" w:lineRule="auto"/>
              <w:rPr>
                <w:rFonts w:ascii="Aptos" w:hAnsi="Aptos" w:eastAsia="Aptos" w:cs="Aptos"/>
                <w:sz w:val="24"/>
                <w:szCs w:val="24"/>
              </w:rPr>
            </w:pPr>
            <w:r w:rsidRPr="3A232ED9">
              <w:rPr>
                <w:rFonts w:ascii="Aptos" w:hAnsi="Aptos" w:eastAsia="Aptos" w:cs="Aptos"/>
                <w:sz w:val="24"/>
                <w:szCs w:val="24"/>
                <w:lang w:val="en"/>
              </w:rPr>
              <w:t>2.11.2</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1CE68C2C" w14:textId="2550151B">
            <w:pPr>
              <w:spacing w:line="257" w:lineRule="auto"/>
              <w:rPr>
                <w:rFonts w:ascii="Aptos" w:hAnsi="Aptos" w:eastAsia="Aptos" w:cs="Aptos"/>
                <w:sz w:val="24"/>
                <w:szCs w:val="24"/>
              </w:rPr>
            </w:pPr>
            <w:r w:rsidRPr="3A232ED9">
              <w:rPr>
                <w:rFonts w:ascii="Aptos" w:hAnsi="Aptos" w:eastAsia="Aptos" w:cs="Aptos"/>
                <w:sz w:val="24"/>
                <w:szCs w:val="24"/>
                <w:lang w:val="en"/>
              </w:rPr>
              <w:t> The work intensity is too low for my learning needs</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67055961" w14:textId="660DFABA">
            <w:pPr>
              <w:spacing w:line="257" w:lineRule="auto"/>
              <w:rPr>
                <w:rFonts w:ascii="Aptos" w:hAnsi="Aptos" w:eastAsia="Aptos" w:cs="Aptos"/>
                <w:sz w:val="24"/>
                <w:szCs w:val="24"/>
              </w:rPr>
            </w:pPr>
            <w:r w:rsidRPr="3A232ED9">
              <w:rPr>
                <w:rFonts w:ascii="Aptos" w:hAnsi="Aptos" w:eastAsia="Aptos" w:cs="Aptos"/>
                <w:sz w:val="24"/>
                <w:szCs w:val="24"/>
                <w:lang w:val="en"/>
              </w:rPr>
              <w:t>Strongly Agree | Agree | Neither Agree nor Disagree | Disagree | Strongly Disagree</w:t>
            </w:r>
            <w:r w:rsidRPr="3A232ED9">
              <w:rPr>
                <w:rFonts w:ascii="Aptos" w:hAnsi="Aptos" w:eastAsia="Aptos" w:cs="Aptos"/>
                <w:sz w:val="24"/>
                <w:szCs w:val="24"/>
              </w:rPr>
              <w:t> </w:t>
            </w:r>
          </w:p>
        </w:tc>
      </w:tr>
      <w:tr w:rsidR="3A232ED9" w:rsidTr="3A232ED9" w14:paraId="40B4D7D3"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7B80CB26" w14:textId="793480EA">
            <w:pPr>
              <w:spacing w:line="257" w:lineRule="auto"/>
              <w:rPr>
                <w:rFonts w:ascii="Aptos" w:hAnsi="Aptos" w:eastAsia="Aptos" w:cs="Aptos"/>
                <w:sz w:val="24"/>
                <w:szCs w:val="24"/>
              </w:rPr>
            </w:pPr>
            <w:r w:rsidRPr="3A232ED9">
              <w:rPr>
                <w:rFonts w:ascii="Aptos" w:hAnsi="Aptos" w:eastAsia="Aptos" w:cs="Aptos"/>
                <w:sz w:val="24"/>
                <w:szCs w:val="24"/>
                <w:lang w:val="en"/>
              </w:rPr>
              <w:t>2.11.3</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6308CCCB" w14:textId="79CD4837">
            <w:pPr>
              <w:spacing w:line="257" w:lineRule="auto"/>
              <w:rPr>
                <w:rFonts w:ascii="Aptos" w:hAnsi="Aptos" w:eastAsia="Aptos" w:cs="Aptos"/>
                <w:sz w:val="24"/>
                <w:szCs w:val="24"/>
              </w:rPr>
            </w:pPr>
            <w:r w:rsidRPr="3A232ED9">
              <w:rPr>
                <w:rFonts w:ascii="Aptos" w:hAnsi="Aptos" w:eastAsia="Aptos" w:cs="Aptos"/>
                <w:sz w:val="24"/>
                <w:szCs w:val="24"/>
                <w:lang w:val="en-US"/>
              </w:rPr>
              <w:t xml:space="preserve">I am allowed study </w:t>
            </w:r>
            <w:proofErr w:type="gramStart"/>
            <w:r w:rsidRPr="3A232ED9">
              <w:rPr>
                <w:rFonts w:ascii="Aptos" w:hAnsi="Aptos" w:eastAsia="Aptos" w:cs="Aptos"/>
                <w:sz w:val="24"/>
                <w:szCs w:val="24"/>
                <w:lang w:val="en-US"/>
              </w:rPr>
              <w:t>leave</w:t>
            </w:r>
            <w:proofErr w:type="gramEnd"/>
            <w:r w:rsidRPr="3A232ED9">
              <w:rPr>
                <w:rFonts w:ascii="Aptos" w:hAnsi="Aptos" w:eastAsia="Aptos" w:cs="Aptos"/>
                <w:sz w:val="24"/>
                <w:szCs w:val="24"/>
                <w:lang w:val="en-US"/>
              </w:rPr>
              <w:t xml:space="preserve"> for appropriate courses (i.e. not regional teaching)</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9E8677C" w14:textId="2B67FEFB">
            <w:pPr>
              <w:spacing w:line="257" w:lineRule="auto"/>
              <w:rPr>
                <w:rFonts w:ascii="Aptos" w:hAnsi="Aptos" w:eastAsia="Aptos" w:cs="Aptos"/>
                <w:sz w:val="24"/>
                <w:szCs w:val="24"/>
              </w:rPr>
            </w:pPr>
            <w:r w:rsidRPr="3A232ED9">
              <w:rPr>
                <w:rFonts w:ascii="Aptos" w:hAnsi="Aptos" w:eastAsia="Aptos" w:cs="Aptos"/>
                <w:sz w:val="24"/>
                <w:szCs w:val="24"/>
                <w:lang w:val="en"/>
              </w:rPr>
              <w:t>Strongly Agree | Agree | Neither Agree nor Disagree | Disagree | Strongly Disagree</w:t>
            </w:r>
            <w:r w:rsidRPr="3A232ED9">
              <w:rPr>
                <w:rFonts w:ascii="Aptos" w:hAnsi="Aptos" w:eastAsia="Aptos" w:cs="Aptos"/>
                <w:sz w:val="24"/>
                <w:szCs w:val="24"/>
              </w:rPr>
              <w:t> </w:t>
            </w:r>
          </w:p>
        </w:tc>
      </w:tr>
      <w:tr w:rsidR="3A232ED9" w:rsidTr="3A232ED9" w14:paraId="14F3ED50"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5E1DA8C7" w14:textId="35F33F2D">
            <w:pPr>
              <w:spacing w:line="257" w:lineRule="auto"/>
              <w:rPr>
                <w:rFonts w:ascii="Aptos" w:hAnsi="Aptos" w:eastAsia="Aptos" w:cs="Aptos"/>
                <w:sz w:val="24"/>
                <w:szCs w:val="24"/>
              </w:rPr>
            </w:pPr>
            <w:r w:rsidRPr="3A232ED9">
              <w:rPr>
                <w:rFonts w:ascii="Aptos" w:hAnsi="Aptos" w:eastAsia="Aptos" w:cs="Aptos"/>
                <w:sz w:val="24"/>
                <w:szCs w:val="24"/>
                <w:lang w:val="en"/>
              </w:rPr>
              <w:t>2.11.4</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1855AFF0" w14:textId="3F972322">
            <w:pPr>
              <w:spacing w:line="257" w:lineRule="auto"/>
              <w:rPr>
                <w:rFonts w:ascii="Aptos" w:hAnsi="Aptos" w:eastAsia="Aptos" w:cs="Aptos"/>
                <w:sz w:val="24"/>
                <w:szCs w:val="24"/>
              </w:rPr>
            </w:pPr>
            <w:r w:rsidRPr="3A232ED9">
              <w:rPr>
                <w:rFonts w:ascii="Aptos" w:hAnsi="Aptos" w:eastAsia="Aptos" w:cs="Aptos"/>
                <w:sz w:val="24"/>
                <w:szCs w:val="24"/>
                <w:lang w:val="en-US"/>
              </w:rPr>
              <w:t>I feel supported to submit exception reports when appropriate</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658667D8" w14:textId="058CD23D">
            <w:pPr>
              <w:spacing w:line="257" w:lineRule="auto"/>
              <w:rPr>
                <w:rFonts w:ascii="Aptos" w:hAnsi="Aptos" w:eastAsia="Aptos" w:cs="Aptos"/>
                <w:sz w:val="24"/>
                <w:szCs w:val="24"/>
              </w:rPr>
            </w:pPr>
            <w:r w:rsidRPr="3A232ED9">
              <w:rPr>
                <w:rFonts w:ascii="Aptos" w:hAnsi="Aptos" w:eastAsia="Aptos" w:cs="Aptos"/>
                <w:sz w:val="24"/>
                <w:szCs w:val="24"/>
                <w:lang w:val="en"/>
              </w:rPr>
              <w:t>Strongly Agree | Agree | Neither Agree nor Disagree | Disagree | Strongly Disagree</w:t>
            </w:r>
            <w:r w:rsidRPr="3A232ED9">
              <w:rPr>
                <w:rFonts w:ascii="Aptos" w:hAnsi="Aptos" w:eastAsia="Aptos" w:cs="Aptos"/>
                <w:sz w:val="24"/>
                <w:szCs w:val="24"/>
              </w:rPr>
              <w:t> </w:t>
            </w:r>
          </w:p>
        </w:tc>
      </w:tr>
      <w:tr w:rsidR="3A232ED9" w:rsidTr="3A232ED9" w14:paraId="23365AEF"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6CD02A4B" w14:textId="2BE940DB">
            <w:pPr>
              <w:spacing w:line="257" w:lineRule="auto"/>
              <w:rPr>
                <w:rFonts w:ascii="Aptos" w:hAnsi="Aptos" w:eastAsia="Aptos" w:cs="Aptos"/>
                <w:sz w:val="24"/>
                <w:szCs w:val="24"/>
              </w:rPr>
            </w:pPr>
            <w:r w:rsidRPr="3A232ED9">
              <w:rPr>
                <w:rFonts w:ascii="Aptos" w:hAnsi="Aptos" w:eastAsia="Aptos" w:cs="Aptos"/>
                <w:sz w:val="24"/>
                <w:szCs w:val="24"/>
                <w:lang w:val="en"/>
              </w:rPr>
              <w:t>2.11.5</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07E1FDD0" w14:textId="388C4926">
            <w:pPr>
              <w:spacing w:line="257" w:lineRule="auto"/>
              <w:rPr>
                <w:rFonts w:ascii="Aptos" w:hAnsi="Aptos" w:eastAsia="Aptos" w:cs="Aptos"/>
                <w:sz w:val="24"/>
                <w:szCs w:val="24"/>
              </w:rPr>
            </w:pPr>
            <w:r w:rsidRPr="3A232ED9">
              <w:rPr>
                <w:rFonts w:ascii="Aptos" w:hAnsi="Aptos" w:eastAsia="Aptos" w:cs="Aptos"/>
                <w:sz w:val="24"/>
                <w:szCs w:val="24"/>
                <w:lang w:val="en-US"/>
              </w:rPr>
              <w:t>How many exception reports have you submitted in the last six months</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5FD55CA2" w14:textId="0A6D26DE">
            <w:pPr>
              <w:spacing w:line="257" w:lineRule="auto"/>
              <w:rPr>
                <w:rFonts w:ascii="Aptos" w:hAnsi="Aptos" w:eastAsia="Aptos" w:cs="Aptos"/>
                <w:sz w:val="24"/>
                <w:szCs w:val="24"/>
              </w:rPr>
            </w:pPr>
            <w:r w:rsidRPr="3A232ED9">
              <w:rPr>
                <w:rFonts w:ascii="Aptos" w:hAnsi="Aptos" w:eastAsia="Aptos" w:cs="Aptos"/>
                <w:sz w:val="24"/>
                <w:szCs w:val="24"/>
              </w:rPr>
              <w:t>0-1 | 2-3 |4-7 | 8-10 | &gt;10</w:t>
            </w:r>
          </w:p>
        </w:tc>
      </w:tr>
      <w:tr w:rsidR="3A232ED9" w:rsidTr="3A232ED9" w14:paraId="0878F880"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160D3D66" w14:textId="07E096D6">
            <w:pPr>
              <w:spacing w:line="257" w:lineRule="auto"/>
              <w:rPr>
                <w:rFonts w:ascii="Aptos" w:hAnsi="Aptos" w:eastAsia="Aptos" w:cs="Aptos"/>
                <w:sz w:val="24"/>
                <w:szCs w:val="24"/>
              </w:rPr>
            </w:pPr>
            <w:r w:rsidRPr="3A232ED9">
              <w:rPr>
                <w:rFonts w:ascii="Aptos" w:hAnsi="Aptos" w:eastAsia="Aptos" w:cs="Aptos"/>
                <w:sz w:val="24"/>
                <w:szCs w:val="24"/>
                <w:lang w:val="en"/>
              </w:rPr>
              <w:t>2.11.6</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5BBA93CD" w14:textId="1EE6B700">
            <w:pPr>
              <w:spacing w:line="257" w:lineRule="auto"/>
              <w:rPr>
                <w:rFonts w:ascii="Aptos" w:hAnsi="Aptos" w:eastAsia="Aptos" w:cs="Aptos"/>
                <w:sz w:val="24"/>
                <w:szCs w:val="24"/>
              </w:rPr>
            </w:pPr>
            <w:r w:rsidRPr="3A232ED9">
              <w:rPr>
                <w:rFonts w:ascii="Aptos" w:hAnsi="Aptos" w:eastAsia="Aptos" w:cs="Aptos"/>
                <w:sz w:val="24"/>
                <w:szCs w:val="24"/>
                <w:lang w:val="en"/>
              </w:rPr>
              <w:t>Exceptions reports are used by my trust to improve training</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34DC65EB" w14:textId="563F42C2">
            <w:pPr>
              <w:spacing w:line="257" w:lineRule="auto"/>
              <w:rPr>
                <w:rFonts w:ascii="Aptos" w:hAnsi="Aptos" w:eastAsia="Aptos" w:cs="Aptos"/>
                <w:sz w:val="24"/>
                <w:szCs w:val="24"/>
              </w:rPr>
            </w:pPr>
            <w:r w:rsidRPr="3A232ED9">
              <w:rPr>
                <w:rFonts w:ascii="Aptos" w:hAnsi="Aptos" w:eastAsia="Aptos" w:cs="Aptos"/>
                <w:sz w:val="24"/>
                <w:szCs w:val="24"/>
              </w:rPr>
              <w:t>Yes | No | Don't know</w:t>
            </w:r>
          </w:p>
        </w:tc>
      </w:tr>
      <w:tr w:rsidR="3A232ED9" w:rsidTr="3A232ED9" w14:paraId="1D193B6D"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891FE78" w14:textId="2ECC2D9F">
            <w:pPr>
              <w:spacing w:line="257" w:lineRule="auto"/>
              <w:rPr>
                <w:rFonts w:ascii="Aptos" w:hAnsi="Aptos" w:eastAsia="Aptos" w:cs="Aptos"/>
                <w:sz w:val="24"/>
                <w:szCs w:val="24"/>
              </w:rPr>
            </w:pPr>
            <w:r w:rsidRPr="3A232ED9">
              <w:rPr>
                <w:rFonts w:ascii="Aptos" w:hAnsi="Aptos" w:eastAsia="Aptos" w:cs="Aptos"/>
                <w:sz w:val="24"/>
                <w:szCs w:val="24"/>
                <w:lang w:val="en"/>
              </w:rPr>
              <w:t>2.11.7</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385DE976" w14:textId="728570AA">
            <w:pPr>
              <w:spacing w:line="257" w:lineRule="auto"/>
              <w:rPr>
                <w:rFonts w:ascii="Aptos" w:hAnsi="Aptos" w:eastAsia="Aptos" w:cs="Aptos"/>
                <w:sz w:val="24"/>
                <w:szCs w:val="24"/>
              </w:rPr>
            </w:pPr>
            <w:r w:rsidRPr="3A232ED9">
              <w:rPr>
                <w:rFonts w:ascii="Aptos" w:hAnsi="Aptos" w:eastAsia="Aptos" w:cs="Aptos"/>
                <w:sz w:val="24"/>
                <w:szCs w:val="24"/>
                <w:lang w:val="en"/>
              </w:rPr>
              <w:t>Exceptions reports are used by my trust to improve the delivery of safe patient care</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0E78F94" w14:textId="6ED4B436">
            <w:pPr>
              <w:spacing w:line="257" w:lineRule="auto"/>
              <w:rPr>
                <w:rFonts w:ascii="Aptos" w:hAnsi="Aptos" w:eastAsia="Aptos" w:cs="Aptos"/>
                <w:sz w:val="24"/>
                <w:szCs w:val="24"/>
              </w:rPr>
            </w:pPr>
            <w:r w:rsidRPr="3A232ED9">
              <w:rPr>
                <w:rFonts w:ascii="Aptos" w:hAnsi="Aptos" w:eastAsia="Aptos" w:cs="Aptos"/>
                <w:sz w:val="24"/>
                <w:szCs w:val="24"/>
              </w:rPr>
              <w:t>Yes | No | Don't know</w:t>
            </w:r>
          </w:p>
        </w:tc>
      </w:tr>
      <w:tr w:rsidR="3A232ED9" w:rsidTr="3A232ED9" w14:paraId="4686BFA8"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01140780" w14:textId="73F97984">
            <w:pPr>
              <w:spacing w:line="257" w:lineRule="auto"/>
              <w:rPr>
                <w:rFonts w:ascii="Aptos" w:hAnsi="Aptos" w:eastAsia="Aptos" w:cs="Aptos"/>
                <w:sz w:val="24"/>
                <w:szCs w:val="24"/>
              </w:rPr>
            </w:pPr>
            <w:r w:rsidRPr="3A232ED9">
              <w:rPr>
                <w:rFonts w:ascii="Aptos" w:hAnsi="Aptos" w:eastAsia="Aptos" w:cs="Aptos"/>
                <w:sz w:val="24"/>
                <w:szCs w:val="24"/>
                <w:lang w:val="en"/>
              </w:rPr>
              <w:t>2.12</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3E77473A" w14:textId="5C179EDA">
            <w:pPr>
              <w:spacing w:line="257" w:lineRule="auto"/>
              <w:rPr>
                <w:rFonts w:ascii="Aptos" w:hAnsi="Aptos" w:eastAsia="Aptos" w:cs="Aptos"/>
                <w:sz w:val="24"/>
                <w:szCs w:val="24"/>
              </w:rPr>
            </w:pPr>
            <w:r w:rsidRPr="3A232ED9">
              <w:rPr>
                <w:rFonts w:ascii="Aptos" w:hAnsi="Aptos" w:eastAsia="Aptos" w:cs="Aptos"/>
                <w:sz w:val="24"/>
                <w:szCs w:val="24"/>
                <w:lang w:val="en"/>
              </w:rPr>
              <w:t>Are there any physician associates working in your department?</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093908B6" w14:textId="59B6E29F">
            <w:pPr>
              <w:spacing w:line="257" w:lineRule="auto"/>
              <w:rPr>
                <w:rFonts w:ascii="Aptos" w:hAnsi="Aptos" w:eastAsia="Aptos" w:cs="Aptos"/>
                <w:sz w:val="24"/>
                <w:szCs w:val="24"/>
              </w:rPr>
            </w:pPr>
            <w:r w:rsidRPr="3A232ED9">
              <w:rPr>
                <w:rFonts w:ascii="Aptos" w:hAnsi="Aptos" w:eastAsia="Aptos" w:cs="Aptos"/>
                <w:sz w:val="24"/>
                <w:szCs w:val="24"/>
                <w:lang w:val="en"/>
              </w:rPr>
              <w:t>Yes | No | Don't know</w:t>
            </w:r>
            <w:r w:rsidRPr="3A232ED9">
              <w:rPr>
                <w:rFonts w:ascii="Aptos" w:hAnsi="Aptos" w:eastAsia="Aptos" w:cs="Aptos"/>
                <w:sz w:val="24"/>
                <w:szCs w:val="24"/>
              </w:rPr>
              <w:t> </w:t>
            </w:r>
          </w:p>
        </w:tc>
      </w:tr>
      <w:tr w:rsidR="3A232ED9" w:rsidTr="3A232ED9" w14:paraId="2416A1FF"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746391A6" w14:textId="587C089F">
            <w:pPr>
              <w:spacing w:line="257" w:lineRule="auto"/>
              <w:rPr>
                <w:rFonts w:ascii="Aptos" w:hAnsi="Aptos" w:eastAsia="Aptos" w:cs="Aptos"/>
                <w:sz w:val="24"/>
                <w:szCs w:val="24"/>
              </w:rPr>
            </w:pPr>
            <w:r w:rsidRPr="3A232ED9">
              <w:rPr>
                <w:rFonts w:ascii="Aptos" w:hAnsi="Aptos" w:eastAsia="Aptos" w:cs="Aptos"/>
                <w:sz w:val="24"/>
                <w:szCs w:val="24"/>
                <w:lang w:val="en"/>
              </w:rPr>
              <w:t>2.12.1</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61DE0506" w14:textId="1C9347C2">
            <w:pPr>
              <w:spacing w:line="257" w:lineRule="auto"/>
              <w:rPr>
                <w:rFonts w:ascii="Aptos" w:hAnsi="Aptos" w:eastAsia="Aptos" w:cs="Aptos"/>
                <w:sz w:val="24"/>
                <w:szCs w:val="24"/>
              </w:rPr>
            </w:pPr>
            <w:r w:rsidRPr="3A232ED9">
              <w:rPr>
                <w:rFonts w:ascii="Aptos" w:hAnsi="Aptos" w:eastAsia="Aptos" w:cs="Aptos"/>
                <w:sz w:val="24"/>
                <w:szCs w:val="24"/>
                <w:lang w:val="en"/>
              </w:rPr>
              <w:t> What tasks do they perform?</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62DE69DF" w14:textId="3F05C518">
            <w:pPr>
              <w:spacing w:line="257" w:lineRule="auto"/>
              <w:rPr>
                <w:rFonts w:ascii="Aptos" w:hAnsi="Aptos" w:eastAsia="Aptos" w:cs="Aptos"/>
                <w:sz w:val="24"/>
                <w:szCs w:val="24"/>
              </w:rPr>
            </w:pPr>
            <w:r w:rsidRPr="3A232ED9">
              <w:rPr>
                <w:rFonts w:ascii="Aptos" w:hAnsi="Aptos" w:eastAsia="Aptos" w:cs="Aptos"/>
                <w:sz w:val="24"/>
                <w:szCs w:val="24"/>
              </w:rPr>
              <w:t xml:space="preserve">Assist in theatre| Bloods/Cannulation | Perform ECG | Ward jobs | Prepare discharge summaries | Assist in ward rounds | Shadowing | Outpatient clinic | Help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team | Clerking in maternity/emergency </w:t>
            </w:r>
            <w:r w:rsidRPr="3A232ED9">
              <w:rPr>
                <w:rFonts w:ascii="Aptos" w:hAnsi="Aptos" w:eastAsia="Aptos" w:cs="Aptos"/>
                <w:sz w:val="24"/>
                <w:szCs w:val="24"/>
              </w:rPr>
              <w:lastRenderedPageBreak/>
              <w:t>gynae/early pregnancy unit | MDT/M&amp;M | Audit/research/QI | Other (please specify)</w:t>
            </w:r>
          </w:p>
        </w:tc>
      </w:tr>
      <w:tr w:rsidR="3A232ED9" w:rsidTr="3A232ED9" w14:paraId="3C82C3BC"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418701A4" w14:textId="4D1C50B2">
            <w:pPr>
              <w:spacing w:line="257" w:lineRule="auto"/>
              <w:rPr>
                <w:rFonts w:ascii="Aptos" w:hAnsi="Aptos" w:eastAsia="Aptos" w:cs="Aptos"/>
                <w:sz w:val="24"/>
                <w:szCs w:val="24"/>
              </w:rPr>
            </w:pPr>
            <w:r w:rsidRPr="3A232ED9">
              <w:rPr>
                <w:rFonts w:ascii="Aptos" w:hAnsi="Aptos" w:eastAsia="Aptos" w:cs="Aptos"/>
                <w:sz w:val="24"/>
                <w:szCs w:val="24"/>
                <w:lang w:val="en"/>
              </w:rPr>
              <w:lastRenderedPageBreak/>
              <w:t>2.12.2</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72B7D434" w14:textId="0D58A2C0">
            <w:pPr>
              <w:spacing w:line="257" w:lineRule="auto"/>
              <w:rPr>
                <w:rFonts w:ascii="Aptos" w:hAnsi="Aptos" w:eastAsia="Aptos" w:cs="Aptos"/>
                <w:sz w:val="24"/>
                <w:szCs w:val="24"/>
              </w:rPr>
            </w:pPr>
            <w:r w:rsidRPr="3A232ED9">
              <w:rPr>
                <w:rFonts w:ascii="Aptos" w:hAnsi="Aptos" w:eastAsia="Aptos" w:cs="Aptos"/>
                <w:sz w:val="24"/>
                <w:szCs w:val="24"/>
                <w:lang w:val="en-US"/>
              </w:rPr>
              <w:t>Are there any other tasks that could suit them?  Please list the tasks.</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5B041E63" w14:textId="02A3E7A9">
            <w:pPr>
              <w:spacing w:line="257" w:lineRule="auto"/>
              <w:rPr>
                <w:rFonts w:ascii="Aptos" w:hAnsi="Aptos" w:eastAsia="Aptos" w:cs="Aptos"/>
                <w:sz w:val="24"/>
                <w:szCs w:val="24"/>
              </w:rPr>
            </w:pPr>
            <w:r w:rsidRPr="3A232ED9">
              <w:rPr>
                <w:rFonts w:ascii="Aptos" w:hAnsi="Aptos" w:eastAsia="Aptos" w:cs="Aptos"/>
                <w:sz w:val="24"/>
                <w:szCs w:val="24"/>
              </w:rPr>
              <w:t xml:space="preserve">Assist in theatre| Bloods/Cannulation | Perform ECG | Ward jobs | Prepare discharge summaries | Assist in ward rounds | Shadowing | Outpatient clinic | Help </w:t>
            </w:r>
            <w:proofErr w:type="spellStart"/>
            <w:r w:rsidRPr="3A232ED9">
              <w:rPr>
                <w:rFonts w:ascii="Aptos" w:hAnsi="Aptos" w:eastAsia="Aptos" w:cs="Aptos"/>
                <w:sz w:val="24"/>
                <w:szCs w:val="24"/>
              </w:rPr>
              <w:t>oncall</w:t>
            </w:r>
            <w:proofErr w:type="spellEnd"/>
            <w:r w:rsidRPr="3A232ED9">
              <w:rPr>
                <w:rFonts w:ascii="Aptos" w:hAnsi="Aptos" w:eastAsia="Aptos" w:cs="Aptos"/>
                <w:sz w:val="24"/>
                <w:szCs w:val="24"/>
              </w:rPr>
              <w:t xml:space="preserve"> team | Clerking in maternity/emergency gynae/early pregnancy unit | MDT/M&amp;M | Audit/research/QI | Other (please specify)</w:t>
            </w:r>
          </w:p>
        </w:tc>
      </w:tr>
      <w:tr w:rsidR="3A232ED9" w:rsidTr="3A232ED9" w14:paraId="43BF93B6"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0EDBF2CE" w14:textId="358ABBF2">
            <w:pPr>
              <w:spacing w:line="257" w:lineRule="auto"/>
              <w:rPr>
                <w:rFonts w:ascii="Aptos" w:hAnsi="Aptos" w:eastAsia="Aptos" w:cs="Aptos"/>
                <w:sz w:val="24"/>
                <w:szCs w:val="24"/>
              </w:rPr>
            </w:pPr>
            <w:r w:rsidRPr="3A232ED9">
              <w:rPr>
                <w:rFonts w:ascii="Aptos" w:hAnsi="Aptos" w:eastAsia="Aptos" w:cs="Aptos"/>
                <w:sz w:val="24"/>
                <w:szCs w:val="24"/>
                <w:lang w:val="en"/>
              </w:rPr>
              <w:t>2.13</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3C281791" w14:textId="47548DEF">
            <w:pPr>
              <w:spacing w:line="257" w:lineRule="auto"/>
              <w:rPr>
                <w:rFonts w:ascii="Aptos" w:hAnsi="Aptos" w:eastAsia="Aptos" w:cs="Aptos"/>
                <w:sz w:val="24"/>
                <w:szCs w:val="24"/>
              </w:rPr>
            </w:pPr>
            <w:r w:rsidRPr="3A232ED9">
              <w:rPr>
                <w:rFonts w:ascii="Aptos" w:hAnsi="Aptos" w:eastAsia="Aptos" w:cs="Aptos"/>
                <w:sz w:val="24"/>
                <w:szCs w:val="24"/>
                <w:lang w:val="en-US"/>
              </w:rPr>
              <w:t xml:space="preserve">Are there any tasks from your </w:t>
            </w:r>
            <w:proofErr w:type="gramStart"/>
            <w:r w:rsidRPr="3A232ED9">
              <w:rPr>
                <w:rFonts w:ascii="Aptos" w:hAnsi="Aptos" w:eastAsia="Aptos" w:cs="Aptos"/>
                <w:sz w:val="24"/>
                <w:szCs w:val="24"/>
                <w:lang w:val="en-US"/>
              </w:rPr>
              <w:t>day to day</w:t>
            </w:r>
            <w:proofErr w:type="gramEnd"/>
            <w:r w:rsidRPr="3A232ED9">
              <w:rPr>
                <w:rFonts w:ascii="Aptos" w:hAnsi="Aptos" w:eastAsia="Aptos" w:cs="Aptos"/>
                <w:sz w:val="24"/>
                <w:szCs w:val="24"/>
                <w:lang w:val="en-US"/>
              </w:rPr>
              <w:t xml:space="preserve"> work that could be delegated to another member of the team?</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0CF4AB2A" w14:textId="299026DD">
            <w:pPr>
              <w:spacing w:line="257" w:lineRule="auto"/>
              <w:rPr>
                <w:rFonts w:ascii="Aptos" w:hAnsi="Aptos" w:eastAsia="Aptos" w:cs="Aptos"/>
                <w:sz w:val="24"/>
                <w:szCs w:val="24"/>
              </w:rPr>
            </w:pPr>
            <w:r w:rsidRPr="3A232ED9">
              <w:rPr>
                <w:rFonts w:ascii="Aptos" w:hAnsi="Aptos" w:eastAsia="Aptos" w:cs="Aptos"/>
                <w:sz w:val="24"/>
                <w:szCs w:val="24"/>
                <w:lang w:val="en"/>
              </w:rPr>
              <w:t>Yes | No | Don't know</w:t>
            </w:r>
            <w:r w:rsidRPr="3A232ED9">
              <w:rPr>
                <w:rFonts w:ascii="Aptos" w:hAnsi="Aptos" w:eastAsia="Aptos" w:cs="Aptos"/>
                <w:sz w:val="24"/>
                <w:szCs w:val="24"/>
              </w:rPr>
              <w:t> </w:t>
            </w:r>
          </w:p>
        </w:tc>
      </w:tr>
      <w:tr w:rsidR="3A232ED9" w:rsidTr="3A232ED9" w14:paraId="09C3CDEE"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1EA933C0" w14:textId="43357CE0">
            <w:pPr>
              <w:spacing w:line="257" w:lineRule="auto"/>
              <w:rPr>
                <w:rFonts w:ascii="Aptos" w:hAnsi="Aptos" w:eastAsia="Aptos" w:cs="Aptos"/>
                <w:sz w:val="24"/>
                <w:szCs w:val="24"/>
              </w:rPr>
            </w:pPr>
            <w:r w:rsidRPr="3A232ED9">
              <w:rPr>
                <w:rFonts w:ascii="Aptos" w:hAnsi="Aptos" w:eastAsia="Aptos" w:cs="Aptos"/>
                <w:sz w:val="24"/>
                <w:szCs w:val="24"/>
                <w:lang w:val="en"/>
              </w:rPr>
              <w:t>2.13.1</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3FEE44B3" w14:textId="705DA6B7">
            <w:pPr>
              <w:spacing w:line="257" w:lineRule="auto"/>
              <w:rPr>
                <w:rFonts w:ascii="Aptos" w:hAnsi="Aptos" w:eastAsia="Aptos" w:cs="Aptos"/>
                <w:sz w:val="24"/>
                <w:szCs w:val="24"/>
              </w:rPr>
            </w:pPr>
            <w:r w:rsidRPr="3A232ED9">
              <w:rPr>
                <w:rFonts w:ascii="Aptos" w:hAnsi="Aptos" w:eastAsia="Aptos" w:cs="Aptos"/>
                <w:sz w:val="24"/>
                <w:szCs w:val="24"/>
                <w:lang w:val="en-US"/>
              </w:rPr>
              <w:t>Who can you delegate these tasks to?  Please select all that apply.</w:t>
            </w:r>
            <w:r w:rsidRPr="3A232ED9">
              <w:rPr>
                <w:rFonts w:ascii="Aptos" w:hAnsi="Aptos" w:eastAsia="Aptos" w:cs="Aptos"/>
                <w:sz w:val="24"/>
                <w:szCs w:val="24"/>
              </w:rPr>
              <w:t> </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FDB91"/>
          </w:tcPr>
          <w:p w:rsidR="3A232ED9" w:rsidP="3A232ED9" w:rsidRDefault="3A232ED9" w14:paraId="5FD74B26" w14:textId="39858739">
            <w:pPr>
              <w:spacing w:line="257" w:lineRule="auto"/>
              <w:rPr>
                <w:rFonts w:ascii="Aptos" w:hAnsi="Aptos" w:eastAsia="Aptos" w:cs="Aptos"/>
                <w:sz w:val="24"/>
                <w:szCs w:val="24"/>
              </w:rPr>
            </w:pPr>
            <w:r w:rsidRPr="3A232ED9">
              <w:rPr>
                <w:rFonts w:ascii="Aptos" w:hAnsi="Aptos" w:eastAsia="Aptos" w:cs="Aptos"/>
                <w:sz w:val="24"/>
                <w:szCs w:val="24"/>
                <w:lang w:val="en"/>
              </w:rPr>
              <w:t>Nurse | Midwife | Advanced nurse practitioner |Physician associate | Other</w:t>
            </w:r>
            <w:r w:rsidRPr="3A232ED9">
              <w:rPr>
                <w:rFonts w:ascii="Aptos" w:hAnsi="Aptos" w:eastAsia="Aptos" w:cs="Aptos"/>
                <w:sz w:val="24"/>
                <w:szCs w:val="24"/>
              </w:rPr>
              <w:t> </w:t>
            </w:r>
          </w:p>
        </w:tc>
      </w:tr>
      <w:tr w:rsidR="3A232ED9" w:rsidTr="3A232ED9" w14:paraId="377FC4FA" w14:textId="77777777">
        <w:trPr>
          <w:trHeight w:val="300"/>
        </w:trPr>
        <w:tc>
          <w:tcPr>
            <w:tcW w:w="7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4E7BFEBC" w14:textId="060136D6">
            <w:pPr>
              <w:spacing w:line="257" w:lineRule="auto"/>
              <w:rPr>
                <w:rFonts w:ascii="Aptos" w:hAnsi="Aptos" w:eastAsia="Aptos" w:cs="Aptos"/>
                <w:sz w:val="24"/>
                <w:szCs w:val="24"/>
              </w:rPr>
            </w:pPr>
            <w:r w:rsidRPr="3A232ED9">
              <w:rPr>
                <w:rFonts w:ascii="Aptos" w:hAnsi="Aptos" w:eastAsia="Aptos" w:cs="Aptos"/>
                <w:sz w:val="24"/>
                <w:szCs w:val="24"/>
                <w:lang w:val="en"/>
              </w:rPr>
              <w:t>2.14</w:t>
            </w:r>
            <w:r w:rsidRPr="3A232ED9">
              <w:rPr>
                <w:rFonts w:ascii="Aptos" w:hAnsi="Aptos" w:eastAsia="Aptos" w:cs="Aptos"/>
                <w:sz w:val="24"/>
                <w:szCs w:val="24"/>
              </w:rPr>
              <w:t> </w:t>
            </w:r>
          </w:p>
        </w:tc>
        <w:tc>
          <w:tcPr>
            <w:tcW w:w="32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2C90E2F" w14:textId="011B400A">
            <w:pPr>
              <w:spacing w:line="257" w:lineRule="auto"/>
              <w:rPr>
                <w:rFonts w:ascii="Aptos" w:hAnsi="Aptos" w:eastAsia="Aptos" w:cs="Aptos"/>
                <w:sz w:val="24"/>
                <w:szCs w:val="24"/>
              </w:rPr>
            </w:pPr>
            <w:r w:rsidRPr="3A232ED9">
              <w:rPr>
                <w:rFonts w:ascii="Aptos" w:hAnsi="Aptos" w:eastAsia="Aptos" w:cs="Aptos"/>
                <w:sz w:val="24"/>
                <w:szCs w:val="24"/>
              </w:rPr>
              <w:t xml:space="preserve">Do you have any additional comments you would like to make on your working environment and rota? (please do not share any names or personal identifiable information as part of your response - please note these comments may be shared with your </w:t>
            </w:r>
            <w:proofErr w:type="spellStart"/>
            <w:r w:rsidRPr="3A232ED9">
              <w:rPr>
                <w:rFonts w:ascii="Aptos" w:hAnsi="Aptos" w:eastAsia="Aptos" w:cs="Aptos"/>
                <w:sz w:val="24"/>
                <w:szCs w:val="24"/>
              </w:rPr>
              <w:t>HoS</w:t>
            </w:r>
            <w:proofErr w:type="spellEnd"/>
            <w:r w:rsidRPr="3A232ED9">
              <w:rPr>
                <w:rFonts w:ascii="Aptos" w:hAnsi="Aptos" w:eastAsia="Aptos" w:cs="Aptos"/>
                <w:sz w:val="24"/>
                <w:szCs w:val="24"/>
              </w:rPr>
              <w:t>)</w:t>
            </w:r>
          </w:p>
        </w:tc>
        <w:tc>
          <w:tcPr>
            <w:tcW w:w="49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020C129" w14:textId="688C0E21">
            <w:pPr>
              <w:spacing w:line="257" w:lineRule="auto"/>
              <w:rPr>
                <w:rFonts w:ascii="Aptos" w:hAnsi="Aptos" w:eastAsia="Aptos" w:cs="Aptos"/>
                <w:sz w:val="24"/>
                <w:szCs w:val="24"/>
              </w:rPr>
            </w:pPr>
            <w:r w:rsidRPr="3A232ED9">
              <w:rPr>
                <w:rFonts w:ascii="Aptos" w:hAnsi="Aptos" w:eastAsia="Aptos" w:cs="Aptos"/>
                <w:sz w:val="24"/>
                <w:szCs w:val="24"/>
                <w:lang w:val="en"/>
              </w:rPr>
              <w:t>Free Text</w:t>
            </w:r>
            <w:r w:rsidRPr="3A232ED9">
              <w:rPr>
                <w:rFonts w:ascii="Aptos" w:hAnsi="Aptos" w:eastAsia="Aptos" w:cs="Aptos"/>
                <w:sz w:val="24"/>
                <w:szCs w:val="24"/>
              </w:rPr>
              <w:t> </w:t>
            </w:r>
          </w:p>
        </w:tc>
      </w:tr>
    </w:tbl>
    <w:p w:rsidR="4C9258E6" w:rsidP="3A232ED9" w:rsidRDefault="7C54500E" w14:paraId="1594BF5F" w14:textId="0AF82EF9">
      <w:pPr>
        <w:spacing w:line="257" w:lineRule="auto"/>
        <w:rPr>
          <w:rFonts w:ascii="Aptos" w:hAnsi="Aptos" w:eastAsia="Aptos" w:cs="Aptos"/>
          <w:color w:val="000000" w:themeColor="text1"/>
          <w:sz w:val="24"/>
          <w:szCs w:val="24"/>
        </w:rPr>
      </w:pPr>
      <w:r w:rsidRPr="3A232ED9">
        <w:rPr>
          <w:rFonts w:ascii="Aptos" w:hAnsi="Aptos" w:eastAsia="Aptos" w:cs="Aptos"/>
          <w:color w:val="000000" w:themeColor="text1"/>
          <w:sz w:val="24"/>
          <w:szCs w:val="24"/>
          <w:lang w:val="en"/>
        </w:rPr>
        <w:t> </w:t>
      </w:r>
      <w:r w:rsidRPr="3A232ED9">
        <w:rPr>
          <w:rFonts w:ascii="Aptos" w:hAnsi="Aptos" w:eastAsia="Aptos" w:cs="Aptos"/>
          <w:color w:val="000000" w:themeColor="text1"/>
          <w:sz w:val="24"/>
          <w:szCs w:val="24"/>
        </w:rPr>
        <w:t> </w:t>
      </w:r>
    </w:p>
    <w:p w:rsidR="4C9258E6" w:rsidP="3A232ED9" w:rsidRDefault="7C54500E" w14:paraId="62BA35E3" w14:textId="040CC626">
      <w:pPr>
        <w:spacing w:line="257" w:lineRule="auto"/>
        <w:rPr>
          <w:rFonts w:ascii="Aptos" w:hAnsi="Aptos" w:eastAsia="Aptos" w:cs="Aptos"/>
          <w:color w:val="000000" w:themeColor="text1"/>
          <w:sz w:val="24"/>
          <w:szCs w:val="24"/>
        </w:rPr>
      </w:pPr>
      <w:proofErr w:type="spellStart"/>
      <w:r w:rsidRPr="3A232ED9">
        <w:rPr>
          <w:rFonts w:ascii="Aptos" w:hAnsi="Aptos" w:eastAsia="Aptos" w:cs="Aptos"/>
          <w:b/>
          <w:bCs/>
          <w:color w:val="000000" w:themeColor="text1"/>
          <w:sz w:val="24"/>
          <w:szCs w:val="24"/>
          <w:lang w:val="en-US"/>
        </w:rPr>
        <w:t>Rotas</w:t>
      </w:r>
      <w:proofErr w:type="spellEnd"/>
      <w:r w:rsidRPr="3A232ED9">
        <w:rPr>
          <w:rFonts w:ascii="Aptos" w:hAnsi="Aptos" w:eastAsia="Aptos" w:cs="Aptos"/>
          <w:b/>
          <w:bCs/>
          <w:color w:val="000000" w:themeColor="text1"/>
          <w:sz w:val="24"/>
          <w:szCs w:val="24"/>
          <w:lang w:val="en-US"/>
        </w:rPr>
        <w:t xml:space="preserve"> and rest</w:t>
      </w:r>
      <w:r w:rsidRPr="3A232ED9">
        <w:rPr>
          <w:rFonts w:ascii="Aptos" w:hAnsi="Aptos" w:eastAsia="Aptos" w:cs="Aptos"/>
          <w:color w:val="000000" w:themeColor="text1"/>
          <w:sz w:val="24"/>
          <w:szCs w:val="24"/>
        </w:rPr>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00"/>
        <w:gridCol w:w="4860"/>
        <w:gridCol w:w="3060"/>
      </w:tblGrid>
      <w:tr w:rsidR="3A232ED9" w:rsidTr="3A232ED9" w14:paraId="63D80046"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1EE27530" w14:textId="54133C11">
            <w:pPr>
              <w:spacing w:line="257" w:lineRule="auto"/>
              <w:rPr>
                <w:rFonts w:ascii="Aptos" w:hAnsi="Aptos" w:eastAsia="Aptos" w:cs="Aptos"/>
                <w:sz w:val="24"/>
                <w:szCs w:val="24"/>
              </w:rPr>
            </w:pPr>
            <w:r w:rsidRPr="3A232ED9">
              <w:rPr>
                <w:rFonts w:ascii="Aptos" w:hAnsi="Aptos" w:eastAsia="Aptos" w:cs="Aptos"/>
                <w:sz w:val="24"/>
                <w:szCs w:val="24"/>
                <w:lang w:val="en"/>
              </w:rPr>
              <w:t>2.15</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7475A7D8" w14:textId="5D3F2CED">
            <w:pPr>
              <w:spacing w:line="257" w:lineRule="auto"/>
              <w:rPr>
                <w:rFonts w:ascii="Aptos" w:hAnsi="Aptos" w:eastAsia="Aptos" w:cs="Aptos"/>
                <w:sz w:val="24"/>
                <w:szCs w:val="24"/>
              </w:rPr>
            </w:pPr>
            <w:r w:rsidRPr="3A232ED9">
              <w:rPr>
                <w:rFonts w:ascii="Aptos" w:hAnsi="Aptos" w:eastAsia="Aptos" w:cs="Aptos"/>
                <w:sz w:val="24"/>
                <w:szCs w:val="24"/>
                <w:lang w:val="en-US"/>
              </w:rPr>
              <w:t xml:space="preserve">What is the </w:t>
            </w:r>
            <w:proofErr w:type="gramStart"/>
            <w:r w:rsidRPr="3A232ED9">
              <w:rPr>
                <w:rFonts w:ascii="Aptos" w:hAnsi="Aptos" w:eastAsia="Aptos" w:cs="Aptos"/>
                <w:sz w:val="24"/>
                <w:szCs w:val="24"/>
                <w:lang w:val="en-US"/>
              </w:rPr>
              <w:t>on call</w:t>
            </w:r>
            <w:proofErr w:type="gramEnd"/>
            <w:r w:rsidRPr="3A232ED9">
              <w:rPr>
                <w:rFonts w:ascii="Aptos" w:hAnsi="Aptos" w:eastAsia="Aptos" w:cs="Aptos"/>
                <w:sz w:val="24"/>
                <w:szCs w:val="24"/>
                <w:lang w:val="en-US"/>
              </w:rPr>
              <w:t xml:space="preserve"> frequency at your level of training?  You should find this information on your work schedule or by seeing how many WTE doctors are on your tier of </w:t>
            </w:r>
            <w:proofErr w:type="spellStart"/>
            <w:r w:rsidRPr="3A232ED9">
              <w:rPr>
                <w:rFonts w:ascii="Aptos" w:hAnsi="Aptos" w:eastAsia="Aptos" w:cs="Aptos"/>
                <w:sz w:val="24"/>
                <w:szCs w:val="24"/>
                <w:lang w:val="en-US"/>
              </w:rPr>
              <w:t>rota</w:t>
            </w:r>
            <w:proofErr w:type="spellEnd"/>
            <w:r w:rsidRPr="3A232ED9">
              <w:rPr>
                <w:rFonts w:ascii="Aptos" w:hAnsi="Aptos" w:eastAsia="Aptos" w:cs="Aptos"/>
                <w:sz w:val="24"/>
                <w:szCs w:val="24"/>
                <w:lang w:val="en-US"/>
              </w:rPr>
              <w:t xml:space="preserve"> e.g. if 8 then then you are a 1:8. </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2864C875" w14:textId="1DE150A0">
            <w:pPr>
              <w:spacing w:line="257" w:lineRule="auto"/>
              <w:rPr>
                <w:rFonts w:ascii="Aptos" w:hAnsi="Aptos" w:eastAsia="Aptos" w:cs="Aptos"/>
                <w:sz w:val="24"/>
                <w:szCs w:val="24"/>
              </w:rPr>
            </w:pPr>
            <w:r w:rsidRPr="3A232ED9">
              <w:rPr>
                <w:rFonts w:ascii="Aptos" w:hAnsi="Aptos" w:eastAsia="Aptos" w:cs="Aptos"/>
                <w:sz w:val="24"/>
                <w:szCs w:val="24"/>
                <w:lang w:val="en"/>
              </w:rPr>
              <w:t>1:4 | 1:5 | 1:6 | 1:7 | 1:8 | 1:9 | 1:10 | 1:11 | 1:12 | 1:14 | 1:15 | 1:16 | 1:18 | 1:19 | 1:20 | Don't know | Other (please specify)</w:t>
            </w:r>
            <w:r w:rsidRPr="3A232ED9">
              <w:rPr>
                <w:rFonts w:ascii="Aptos" w:hAnsi="Aptos" w:eastAsia="Aptos" w:cs="Aptos"/>
                <w:sz w:val="24"/>
                <w:szCs w:val="24"/>
              </w:rPr>
              <w:t> </w:t>
            </w:r>
          </w:p>
        </w:tc>
      </w:tr>
      <w:tr w:rsidR="3A232ED9" w:rsidTr="3A232ED9" w14:paraId="05040AC6"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33C008D3" w14:textId="7FD8410A">
            <w:pPr>
              <w:spacing w:line="257" w:lineRule="auto"/>
              <w:rPr>
                <w:rFonts w:ascii="Aptos" w:hAnsi="Aptos" w:eastAsia="Aptos" w:cs="Aptos"/>
                <w:sz w:val="24"/>
                <w:szCs w:val="24"/>
              </w:rPr>
            </w:pPr>
            <w:r w:rsidRPr="3A232ED9">
              <w:rPr>
                <w:rFonts w:ascii="Aptos" w:hAnsi="Aptos" w:eastAsia="Aptos" w:cs="Aptos"/>
                <w:sz w:val="24"/>
                <w:szCs w:val="24"/>
                <w:lang w:val="en"/>
              </w:rPr>
              <w:t>2.16</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18549F4C" w14:textId="24288136">
            <w:pPr>
              <w:spacing w:line="257" w:lineRule="auto"/>
              <w:rPr>
                <w:rFonts w:ascii="Aptos" w:hAnsi="Aptos" w:eastAsia="Aptos" w:cs="Aptos"/>
                <w:sz w:val="24"/>
                <w:szCs w:val="24"/>
              </w:rPr>
            </w:pPr>
            <w:r w:rsidRPr="3A232ED9">
              <w:rPr>
                <w:rFonts w:ascii="Aptos" w:hAnsi="Aptos" w:eastAsia="Aptos" w:cs="Aptos"/>
                <w:sz w:val="24"/>
                <w:szCs w:val="24"/>
                <w:lang w:val="en"/>
              </w:rPr>
              <w:t>How many consecutive weekday nights do you work?</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06109626" w14:textId="1C82E13B">
            <w:pPr>
              <w:spacing w:line="257" w:lineRule="auto"/>
              <w:rPr>
                <w:rFonts w:ascii="Aptos" w:hAnsi="Aptos" w:eastAsia="Aptos" w:cs="Aptos"/>
                <w:sz w:val="24"/>
                <w:szCs w:val="24"/>
              </w:rPr>
            </w:pPr>
            <w:r w:rsidRPr="3A232ED9">
              <w:rPr>
                <w:rFonts w:ascii="Aptos" w:hAnsi="Aptos" w:eastAsia="Aptos" w:cs="Aptos"/>
                <w:sz w:val="24"/>
                <w:szCs w:val="24"/>
                <w:lang w:val="en"/>
              </w:rPr>
              <w:t xml:space="preserve">1 | 2 | 3 | 4 | 5 </w:t>
            </w:r>
          </w:p>
        </w:tc>
      </w:tr>
      <w:tr w:rsidR="3A232ED9" w:rsidTr="3A232ED9" w14:paraId="4F2EB654"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7C170AFA" w14:textId="5E682CCA">
            <w:pPr>
              <w:spacing w:line="257" w:lineRule="auto"/>
              <w:rPr>
                <w:rFonts w:ascii="Aptos" w:hAnsi="Aptos" w:eastAsia="Aptos" w:cs="Aptos"/>
                <w:sz w:val="24"/>
                <w:szCs w:val="24"/>
              </w:rPr>
            </w:pPr>
            <w:r w:rsidRPr="3A232ED9">
              <w:rPr>
                <w:rFonts w:ascii="Aptos" w:hAnsi="Aptos" w:eastAsia="Aptos" w:cs="Aptos"/>
                <w:sz w:val="24"/>
                <w:szCs w:val="24"/>
                <w:lang w:val="en"/>
              </w:rPr>
              <w:lastRenderedPageBreak/>
              <w:t>2.17</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5E009AD5" w14:textId="2B39DD33">
            <w:pPr>
              <w:spacing w:line="257" w:lineRule="auto"/>
              <w:rPr>
                <w:rFonts w:ascii="Aptos" w:hAnsi="Aptos" w:eastAsia="Aptos" w:cs="Aptos"/>
                <w:sz w:val="24"/>
                <w:szCs w:val="24"/>
              </w:rPr>
            </w:pPr>
            <w:r w:rsidRPr="3A232ED9">
              <w:rPr>
                <w:rFonts w:ascii="Aptos" w:hAnsi="Aptos" w:eastAsia="Aptos" w:cs="Aptos"/>
                <w:sz w:val="24"/>
                <w:szCs w:val="24"/>
              </w:rPr>
              <w:t>After completing a set of consecutive weekday nights on call, how many normal nights of sleep would you have before you are next at work again?</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52753987" w14:textId="7CC19C2E">
            <w:pPr>
              <w:spacing w:line="257" w:lineRule="auto"/>
              <w:rPr>
                <w:rFonts w:ascii="Aptos" w:hAnsi="Aptos" w:eastAsia="Aptos" w:cs="Aptos"/>
                <w:sz w:val="24"/>
                <w:szCs w:val="24"/>
              </w:rPr>
            </w:pPr>
            <w:r w:rsidRPr="3A232ED9">
              <w:rPr>
                <w:rFonts w:ascii="Aptos" w:hAnsi="Aptos" w:eastAsia="Aptos" w:cs="Aptos"/>
                <w:sz w:val="24"/>
                <w:szCs w:val="24"/>
              </w:rPr>
              <w:t>1 | 2 | 3 | 4 | 5 | 6 | &gt;6 | I do not work weekday nights</w:t>
            </w:r>
          </w:p>
        </w:tc>
      </w:tr>
      <w:tr w:rsidR="3A232ED9" w:rsidTr="3A232ED9" w14:paraId="0A8F5B82"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13909560" w14:textId="07BA64A6">
            <w:pPr>
              <w:spacing w:line="257" w:lineRule="auto"/>
              <w:rPr>
                <w:rFonts w:ascii="Aptos" w:hAnsi="Aptos" w:eastAsia="Aptos" w:cs="Aptos"/>
                <w:sz w:val="24"/>
                <w:szCs w:val="24"/>
              </w:rPr>
            </w:pPr>
            <w:r w:rsidRPr="3A232ED9">
              <w:rPr>
                <w:rFonts w:ascii="Aptos" w:hAnsi="Aptos" w:eastAsia="Aptos" w:cs="Aptos"/>
                <w:sz w:val="24"/>
                <w:szCs w:val="24"/>
                <w:lang w:val="en"/>
              </w:rPr>
              <w:t>2.18</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1A49D5E4" w14:textId="564F0B66">
            <w:pPr>
              <w:spacing w:line="257" w:lineRule="auto"/>
              <w:rPr>
                <w:rFonts w:ascii="Aptos" w:hAnsi="Aptos" w:eastAsia="Aptos" w:cs="Aptos"/>
                <w:sz w:val="24"/>
                <w:szCs w:val="24"/>
              </w:rPr>
            </w:pPr>
            <w:r w:rsidRPr="3A232ED9">
              <w:rPr>
                <w:rFonts w:ascii="Aptos" w:hAnsi="Aptos" w:eastAsia="Aptos" w:cs="Aptos"/>
                <w:sz w:val="24"/>
                <w:szCs w:val="24"/>
              </w:rPr>
              <w:t>How much time off do you have immediately after working days over the weekend? (a session is defined as a morning or afternoon shift)</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763B0410" w14:textId="712C2E23">
            <w:pPr>
              <w:spacing w:line="257" w:lineRule="auto"/>
              <w:rPr>
                <w:rFonts w:ascii="Aptos" w:hAnsi="Aptos" w:eastAsia="Aptos" w:cs="Aptos"/>
                <w:sz w:val="24"/>
                <w:szCs w:val="24"/>
              </w:rPr>
            </w:pPr>
            <w:r w:rsidRPr="3A232ED9">
              <w:rPr>
                <w:rFonts w:ascii="Aptos" w:hAnsi="Aptos" w:eastAsia="Aptos" w:cs="Aptos"/>
                <w:sz w:val="24"/>
                <w:szCs w:val="24"/>
              </w:rPr>
              <w:t>1 session | 2 sessions | 3 sessions | 4 sessions | &gt;4 sessions</w:t>
            </w:r>
          </w:p>
        </w:tc>
      </w:tr>
      <w:tr w:rsidR="3A232ED9" w:rsidTr="3A232ED9" w14:paraId="37C729E5"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21F8C6B3" w14:textId="40FD4B96">
            <w:pPr>
              <w:spacing w:line="257" w:lineRule="auto"/>
              <w:rPr>
                <w:rFonts w:ascii="Aptos" w:hAnsi="Aptos" w:eastAsia="Aptos" w:cs="Aptos"/>
                <w:sz w:val="24"/>
                <w:szCs w:val="24"/>
              </w:rPr>
            </w:pPr>
            <w:r w:rsidRPr="3A232ED9">
              <w:rPr>
                <w:rFonts w:ascii="Aptos" w:hAnsi="Aptos" w:eastAsia="Aptos" w:cs="Aptos"/>
                <w:sz w:val="24"/>
                <w:szCs w:val="24"/>
                <w:lang w:val="en"/>
              </w:rPr>
              <w:t>2.19</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32101ADC" w14:textId="7D09C3A8">
            <w:pPr>
              <w:spacing w:line="257" w:lineRule="auto"/>
              <w:rPr>
                <w:rFonts w:ascii="Aptos" w:hAnsi="Aptos" w:eastAsia="Aptos" w:cs="Aptos"/>
                <w:sz w:val="24"/>
                <w:szCs w:val="24"/>
              </w:rPr>
            </w:pPr>
            <w:r w:rsidRPr="3A232ED9">
              <w:rPr>
                <w:rFonts w:ascii="Aptos" w:hAnsi="Aptos" w:eastAsia="Aptos" w:cs="Aptos"/>
                <w:sz w:val="24"/>
                <w:szCs w:val="24"/>
                <w:lang w:val="en"/>
              </w:rPr>
              <w:t>How many days off do you have after working consecutive weekend nights?</w:t>
            </w:r>
            <w:r w:rsidRPr="3A232ED9">
              <w:rPr>
                <w:rFonts w:ascii="Aptos" w:hAnsi="Aptos" w:eastAsia="Aptos" w:cs="Aptos"/>
                <w:sz w:val="24"/>
                <w:szCs w:val="24"/>
              </w:rPr>
              <w:t> (</w:t>
            </w:r>
            <w:proofErr w:type="gramStart"/>
            <w:r w:rsidRPr="3A232ED9">
              <w:rPr>
                <w:rFonts w:ascii="Aptos" w:hAnsi="Aptos" w:eastAsia="Aptos" w:cs="Aptos"/>
                <w:sz w:val="24"/>
                <w:szCs w:val="24"/>
              </w:rPr>
              <w:t>not</w:t>
            </w:r>
            <w:proofErr w:type="gramEnd"/>
            <w:r w:rsidRPr="3A232ED9">
              <w:rPr>
                <w:rFonts w:ascii="Aptos" w:hAnsi="Aptos" w:eastAsia="Aptos" w:cs="Aptos"/>
                <w:sz w:val="24"/>
                <w:szCs w:val="24"/>
              </w:rPr>
              <w:t xml:space="preserve"> including the day your shift finishes i.e. Monday </w:t>
            </w:r>
            <w:proofErr w:type="gramStart"/>
            <w:r w:rsidRPr="3A232ED9">
              <w:rPr>
                <w:rFonts w:ascii="Aptos" w:hAnsi="Aptos" w:eastAsia="Aptos" w:cs="Aptos"/>
                <w:sz w:val="24"/>
                <w:szCs w:val="24"/>
              </w:rPr>
              <w:t>day time</w:t>
            </w:r>
            <w:proofErr w:type="gramEnd"/>
            <w:r w:rsidRPr="3A232ED9">
              <w:rPr>
                <w:rFonts w:ascii="Aptos" w:hAnsi="Aptos" w:eastAsia="Aptos" w:cs="Aptos"/>
                <w:sz w:val="24"/>
                <w:szCs w:val="24"/>
              </w:rPr>
              <w:t>)</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0A532CA9" w14:textId="7351E7DD">
            <w:pPr>
              <w:spacing w:line="257" w:lineRule="auto"/>
              <w:rPr>
                <w:rFonts w:ascii="Aptos" w:hAnsi="Aptos" w:eastAsia="Aptos" w:cs="Aptos"/>
                <w:sz w:val="24"/>
                <w:szCs w:val="24"/>
              </w:rPr>
            </w:pPr>
            <w:r w:rsidRPr="3A232ED9">
              <w:rPr>
                <w:rFonts w:ascii="Aptos" w:hAnsi="Aptos" w:eastAsia="Aptos" w:cs="Aptos"/>
                <w:sz w:val="24"/>
                <w:szCs w:val="24"/>
              </w:rPr>
              <w:t>1 | 2 | 3 | 4 | 5 | 6 | &gt;6 | I do not work weekend nights</w:t>
            </w:r>
          </w:p>
        </w:tc>
      </w:tr>
      <w:tr w:rsidR="3A232ED9" w:rsidTr="3A232ED9" w14:paraId="37CF7E15"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2D08E003" w14:textId="777D7670">
            <w:pPr>
              <w:spacing w:line="257" w:lineRule="auto"/>
              <w:rPr>
                <w:rFonts w:ascii="Aptos" w:hAnsi="Aptos" w:eastAsia="Aptos" w:cs="Aptos"/>
                <w:sz w:val="24"/>
                <w:szCs w:val="24"/>
              </w:rPr>
            </w:pPr>
            <w:r w:rsidRPr="3A232ED9">
              <w:rPr>
                <w:rFonts w:ascii="Aptos" w:hAnsi="Aptos" w:eastAsia="Aptos" w:cs="Aptos"/>
                <w:sz w:val="24"/>
                <w:szCs w:val="24"/>
                <w:lang w:val="en"/>
              </w:rPr>
              <w:t>2.20</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2066D0F8" w14:textId="31870EE5">
            <w:pPr>
              <w:spacing w:line="257" w:lineRule="auto"/>
              <w:rPr>
                <w:rFonts w:ascii="Aptos" w:hAnsi="Aptos" w:eastAsia="Aptos" w:cs="Aptos"/>
                <w:sz w:val="24"/>
                <w:szCs w:val="24"/>
              </w:rPr>
            </w:pPr>
            <w:r w:rsidRPr="3A232ED9">
              <w:rPr>
                <w:rFonts w:ascii="Aptos" w:hAnsi="Aptos" w:eastAsia="Aptos" w:cs="Aptos"/>
                <w:sz w:val="24"/>
                <w:szCs w:val="24"/>
                <w:lang w:val="en-US"/>
              </w:rPr>
              <w:t>Do you have accessible and adequate rest facilities available during your night shifts (i.e. private area with bedding/comfortable chair)?</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239CA17F" w14:textId="47C19FC1">
            <w:pPr>
              <w:spacing w:line="257" w:lineRule="auto"/>
              <w:rPr>
                <w:rFonts w:ascii="Aptos" w:hAnsi="Aptos" w:eastAsia="Aptos" w:cs="Aptos"/>
                <w:sz w:val="24"/>
                <w:szCs w:val="24"/>
              </w:rPr>
            </w:pPr>
            <w:r w:rsidRPr="3A232ED9">
              <w:rPr>
                <w:rFonts w:ascii="Aptos" w:hAnsi="Aptos" w:eastAsia="Aptos" w:cs="Aptos"/>
                <w:sz w:val="24"/>
                <w:szCs w:val="24"/>
                <w:lang w:val="en"/>
              </w:rPr>
              <w:t>Yes | No</w:t>
            </w:r>
            <w:r w:rsidRPr="3A232ED9">
              <w:rPr>
                <w:rFonts w:ascii="Aptos" w:hAnsi="Aptos" w:eastAsia="Aptos" w:cs="Aptos"/>
                <w:sz w:val="24"/>
                <w:szCs w:val="24"/>
              </w:rPr>
              <w:t> </w:t>
            </w:r>
          </w:p>
        </w:tc>
      </w:tr>
      <w:tr w:rsidR="3A232ED9" w:rsidTr="3A232ED9" w14:paraId="00985202"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24178910" w14:textId="0130B27E">
            <w:pPr>
              <w:spacing w:line="257" w:lineRule="auto"/>
              <w:rPr>
                <w:rFonts w:ascii="Aptos" w:hAnsi="Aptos" w:eastAsia="Aptos" w:cs="Aptos"/>
                <w:sz w:val="24"/>
                <w:szCs w:val="24"/>
              </w:rPr>
            </w:pPr>
            <w:r w:rsidRPr="3A232ED9">
              <w:rPr>
                <w:rFonts w:ascii="Aptos" w:hAnsi="Aptos" w:eastAsia="Aptos" w:cs="Aptos"/>
                <w:sz w:val="24"/>
                <w:szCs w:val="24"/>
                <w:lang w:val="en"/>
              </w:rPr>
              <w:t>2.21</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04720E25" w14:textId="45ECAEFF">
            <w:pPr>
              <w:spacing w:line="257" w:lineRule="auto"/>
              <w:rPr>
                <w:rFonts w:ascii="Aptos" w:hAnsi="Aptos" w:eastAsia="Aptos" w:cs="Aptos"/>
                <w:sz w:val="24"/>
                <w:szCs w:val="24"/>
              </w:rPr>
            </w:pPr>
            <w:r w:rsidRPr="3A232ED9">
              <w:rPr>
                <w:rFonts w:ascii="Aptos" w:hAnsi="Aptos" w:eastAsia="Aptos" w:cs="Aptos"/>
                <w:sz w:val="24"/>
                <w:szCs w:val="24"/>
                <w:lang w:val="en"/>
              </w:rPr>
              <w:t>If rest facilities are available during your night shifts, how often do you use such facilities?</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54174753" w14:textId="0375A33E">
            <w:pPr>
              <w:spacing w:line="257" w:lineRule="auto"/>
              <w:rPr>
                <w:rFonts w:ascii="Aptos" w:hAnsi="Aptos" w:eastAsia="Aptos" w:cs="Aptos"/>
                <w:sz w:val="24"/>
                <w:szCs w:val="24"/>
              </w:rPr>
            </w:pPr>
            <w:r w:rsidRPr="3A232ED9">
              <w:rPr>
                <w:rFonts w:ascii="Aptos" w:hAnsi="Aptos" w:eastAsia="Aptos" w:cs="Aptos"/>
                <w:sz w:val="24"/>
                <w:szCs w:val="24"/>
                <w:lang w:val="en"/>
              </w:rPr>
              <w:t>Never | Rarely | Sometimes | Often | Always | N/A</w:t>
            </w:r>
            <w:r w:rsidRPr="3A232ED9">
              <w:rPr>
                <w:rFonts w:ascii="Aptos" w:hAnsi="Aptos" w:eastAsia="Aptos" w:cs="Aptos"/>
                <w:sz w:val="24"/>
                <w:szCs w:val="24"/>
              </w:rPr>
              <w:t> </w:t>
            </w:r>
          </w:p>
        </w:tc>
      </w:tr>
      <w:tr w:rsidR="3A232ED9" w:rsidTr="3A232ED9" w14:paraId="2ACA653B"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73BE09E5" w14:textId="49DB5F49">
            <w:pPr>
              <w:spacing w:line="257" w:lineRule="auto"/>
              <w:rPr>
                <w:rFonts w:ascii="Aptos" w:hAnsi="Aptos" w:eastAsia="Aptos" w:cs="Aptos"/>
                <w:sz w:val="24"/>
                <w:szCs w:val="24"/>
              </w:rPr>
            </w:pPr>
            <w:r w:rsidRPr="3A232ED9">
              <w:rPr>
                <w:rFonts w:ascii="Aptos" w:hAnsi="Aptos" w:eastAsia="Aptos" w:cs="Aptos"/>
                <w:sz w:val="24"/>
                <w:szCs w:val="24"/>
                <w:lang w:val="en"/>
              </w:rPr>
              <w:t>2.22</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64FFB83F" w14:textId="0F9B4CCF">
            <w:pPr>
              <w:spacing w:line="257" w:lineRule="auto"/>
              <w:rPr>
                <w:rFonts w:ascii="Aptos" w:hAnsi="Aptos" w:eastAsia="Aptos" w:cs="Aptos"/>
                <w:sz w:val="24"/>
                <w:szCs w:val="24"/>
              </w:rPr>
            </w:pPr>
            <w:r w:rsidRPr="3A232ED9">
              <w:rPr>
                <w:rFonts w:ascii="Aptos" w:hAnsi="Aptos" w:eastAsia="Aptos" w:cs="Aptos"/>
                <w:sz w:val="24"/>
                <w:szCs w:val="24"/>
                <w:lang w:val="en"/>
              </w:rPr>
              <w:t>How often do you have at least 30 minutes of uninterrupted rest during a night shift?</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045C59FC" w14:textId="6E9BC507">
            <w:pPr>
              <w:spacing w:line="257" w:lineRule="auto"/>
              <w:rPr>
                <w:rFonts w:ascii="Aptos" w:hAnsi="Aptos" w:eastAsia="Aptos" w:cs="Aptos"/>
                <w:sz w:val="24"/>
                <w:szCs w:val="24"/>
              </w:rPr>
            </w:pPr>
            <w:r w:rsidRPr="3A232ED9">
              <w:rPr>
                <w:rFonts w:ascii="Aptos" w:hAnsi="Aptos" w:eastAsia="Aptos" w:cs="Aptos"/>
                <w:sz w:val="24"/>
                <w:szCs w:val="24"/>
                <w:lang w:val="en"/>
              </w:rPr>
              <w:t>Never | Rarely | Sometimes | Often | Always</w:t>
            </w:r>
            <w:r w:rsidRPr="3A232ED9">
              <w:rPr>
                <w:rFonts w:ascii="Aptos" w:hAnsi="Aptos" w:eastAsia="Aptos" w:cs="Aptos"/>
                <w:sz w:val="24"/>
                <w:szCs w:val="24"/>
              </w:rPr>
              <w:t> </w:t>
            </w:r>
          </w:p>
        </w:tc>
      </w:tr>
      <w:tr w:rsidR="3A232ED9" w:rsidTr="3A232ED9" w14:paraId="7CD33FAD"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6C5AC"/>
          </w:tcPr>
          <w:p w:rsidR="3A232ED9" w:rsidP="3A232ED9" w:rsidRDefault="3A232ED9" w14:paraId="1F4D248A" w14:textId="654923A2">
            <w:pPr>
              <w:spacing w:line="257" w:lineRule="auto"/>
              <w:rPr>
                <w:rFonts w:ascii="Aptos" w:hAnsi="Aptos" w:eastAsia="Aptos" w:cs="Aptos"/>
                <w:sz w:val="24"/>
                <w:szCs w:val="24"/>
              </w:rPr>
            </w:pPr>
            <w:r w:rsidRPr="3A232ED9">
              <w:rPr>
                <w:rFonts w:ascii="Aptos" w:hAnsi="Aptos" w:eastAsia="Aptos" w:cs="Aptos"/>
                <w:sz w:val="24"/>
                <w:szCs w:val="24"/>
                <w:lang w:val="en"/>
              </w:rPr>
              <w:t>2.23</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6C5AC"/>
          </w:tcPr>
          <w:p w:rsidR="3A232ED9" w:rsidP="3A232ED9" w:rsidRDefault="3A232ED9" w14:paraId="45518757" w14:textId="616C6AD7">
            <w:pPr>
              <w:spacing w:line="257" w:lineRule="auto"/>
              <w:rPr>
                <w:rFonts w:ascii="Aptos" w:hAnsi="Aptos" w:eastAsia="Aptos" w:cs="Aptos"/>
                <w:sz w:val="24"/>
                <w:szCs w:val="24"/>
              </w:rPr>
            </w:pPr>
            <w:r w:rsidRPr="3A232ED9">
              <w:rPr>
                <w:rFonts w:ascii="Aptos" w:hAnsi="Aptos" w:eastAsia="Aptos" w:cs="Aptos"/>
                <w:sz w:val="24"/>
                <w:szCs w:val="24"/>
                <w:lang w:val="en"/>
              </w:rPr>
              <w:t>If applicable, do you ever feel too tired to safely travel home after a night shift?</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6C5AC"/>
          </w:tcPr>
          <w:p w:rsidR="3A232ED9" w:rsidP="3A232ED9" w:rsidRDefault="3A232ED9" w14:paraId="120B3F50" w14:textId="760C3F75">
            <w:pPr>
              <w:spacing w:line="257" w:lineRule="auto"/>
              <w:rPr>
                <w:rFonts w:ascii="Aptos" w:hAnsi="Aptos" w:eastAsia="Aptos" w:cs="Aptos"/>
                <w:sz w:val="24"/>
                <w:szCs w:val="24"/>
              </w:rPr>
            </w:pPr>
            <w:r w:rsidRPr="3A232ED9">
              <w:rPr>
                <w:rFonts w:ascii="Aptos" w:hAnsi="Aptos" w:eastAsia="Aptos" w:cs="Aptos"/>
                <w:sz w:val="24"/>
                <w:szCs w:val="24"/>
                <w:lang w:val="en"/>
              </w:rPr>
              <w:t> Never | Rarely | Sometimes | Often | Always | N/A</w:t>
            </w:r>
            <w:r w:rsidRPr="3A232ED9">
              <w:rPr>
                <w:rFonts w:ascii="Aptos" w:hAnsi="Aptos" w:eastAsia="Aptos" w:cs="Aptos"/>
                <w:sz w:val="24"/>
                <w:szCs w:val="24"/>
              </w:rPr>
              <w:t> </w:t>
            </w:r>
          </w:p>
        </w:tc>
      </w:tr>
      <w:tr w:rsidR="3A232ED9" w:rsidTr="3A232ED9" w14:paraId="4088582D"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B9BCDAA" w14:textId="72036EB0">
            <w:pPr>
              <w:spacing w:line="257" w:lineRule="auto"/>
              <w:rPr>
                <w:rFonts w:ascii="Aptos" w:hAnsi="Aptos" w:eastAsia="Aptos" w:cs="Aptos"/>
                <w:sz w:val="24"/>
                <w:szCs w:val="24"/>
              </w:rPr>
            </w:pPr>
            <w:r w:rsidRPr="3A232ED9">
              <w:rPr>
                <w:rFonts w:ascii="Aptos" w:hAnsi="Aptos" w:eastAsia="Aptos" w:cs="Aptos"/>
                <w:sz w:val="24"/>
                <w:szCs w:val="24"/>
                <w:lang w:val="en"/>
              </w:rPr>
              <w:t>2.24</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3DFCDB3" w14:textId="65128D38">
            <w:pPr>
              <w:spacing w:line="257" w:lineRule="auto"/>
              <w:rPr>
                <w:rFonts w:ascii="Aptos" w:hAnsi="Aptos" w:eastAsia="Aptos" w:cs="Aptos"/>
                <w:sz w:val="24"/>
                <w:szCs w:val="24"/>
              </w:rPr>
            </w:pPr>
            <w:r w:rsidRPr="3A232ED9">
              <w:rPr>
                <w:rFonts w:ascii="Aptos" w:hAnsi="Aptos" w:eastAsia="Aptos" w:cs="Aptos"/>
                <w:sz w:val="24"/>
                <w:szCs w:val="24"/>
                <w:lang w:val="en"/>
              </w:rPr>
              <w:t>Do you have access to "too tired to drive" facilities after a shift if you need them?</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3A8D069F" w14:textId="03C64370">
            <w:pPr>
              <w:spacing w:line="257" w:lineRule="auto"/>
              <w:rPr>
                <w:rFonts w:ascii="Aptos" w:hAnsi="Aptos" w:eastAsia="Aptos" w:cs="Aptos"/>
                <w:sz w:val="24"/>
                <w:szCs w:val="24"/>
              </w:rPr>
            </w:pPr>
            <w:r w:rsidRPr="3A232ED9">
              <w:rPr>
                <w:rFonts w:ascii="Aptos" w:hAnsi="Aptos" w:eastAsia="Aptos" w:cs="Aptos"/>
                <w:sz w:val="24"/>
                <w:szCs w:val="24"/>
                <w:lang w:val="en"/>
              </w:rPr>
              <w:t>Yes | No | Don't know | N/A</w:t>
            </w:r>
            <w:r w:rsidRPr="3A232ED9">
              <w:rPr>
                <w:rFonts w:ascii="Aptos" w:hAnsi="Aptos" w:eastAsia="Aptos" w:cs="Aptos"/>
                <w:sz w:val="24"/>
                <w:szCs w:val="24"/>
              </w:rPr>
              <w:t> </w:t>
            </w:r>
          </w:p>
        </w:tc>
      </w:tr>
      <w:tr w:rsidR="3A232ED9" w:rsidTr="3A232ED9" w14:paraId="5994E9CB"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6C5AC"/>
          </w:tcPr>
          <w:p w:rsidR="3A232ED9" w:rsidP="3A232ED9" w:rsidRDefault="3A232ED9" w14:paraId="403B2ACE" w14:textId="0DC42641">
            <w:pPr>
              <w:spacing w:line="257" w:lineRule="auto"/>
              <w:rPr>
                <w:rFonts w:ascii="Aptos" w:hAnsi="Aptos" w:eastAsia="Aptos" w:cs="Aptos"/>
                <w:sz w:val="24"/>
                <w:szCs w:val="24"/>
              </w:rPr>
            </w:pPr>
            <w:r w:rsidRPr="3A232ED9">
              <w:rPr>
                <w:rFonts w:ascii="Aptos" w:hAnsi="Aptos" w:eastAsia="Aptos" w:cs="Aptos"/>
                <w:sz w:val="24"/>
                <w:szCs w:val="24"/>
                <w:lang w:val="en"/>
              </w:rPr>
              <w:t>2.25</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6C5AC"/>
          </w:tcPr>
          <w:p w:rsidR="3A232ED9" w:rsidP="3A232ED9" w:rsidRDefault="3A232ED9" w14:paraId="35D78EE9" w14:textId="7471A935">
            <w:pPr>
              <w:spacing w:line="257" w:lineRule="auto"/>
              <w:rPr>
                <w:rFonts w:ascii="Aptos" w:hAnsi="Aptos" w:eastAsia="Aptos" w:cs="Aptos"/>
                <w:sz w:val="24"/>
                <w:szCs w:val="24"/>
              </w:rPr>
            </w:pPr>
            <w:r w:rsidRPr="3A232ED9">
              <w:rPr>
                <w:rFonts w:ascii="Aptos" w:hAnsi="Aptos" w:eastAsia="Aptos" w:cs="Aptos"/>
                <w:sz w:val="24"/>
                <w:szCs w:val="24"/>
                <w:lang w:val="en-US"/>
              </w:rPr>
              <w:t xml:space="preserve">How often do you feel adequately rested when returning to daytime duties after working consecutive night shifts (either weekday or weekend) within the current </w:t>
            </w:r>
            <w:proofErr w:type="spellStart"/>
            <w:r w:rsidRPr="3A232ED9">
              <w:rPr>
                <w:rFonts w:ascii="Aptos" w:hAnsi="Aptos" w:eastAsia="Aptos" w:cs="Aptos"/>
                <w:sz w:val="24"/>
                <w:szCs w:val="24"/>
                <w:lang w:val="en-US"/>
              </w:rPr>
              <w:t>rota</w:t>
            </w:r>
            <w:proofErr w:type="spellEnd"/>
            <w:r w:rsidRPr="3A232ED9">
              <w:rPr>
                <w:rFonts w:ascii="Aptos" w:hAnsi="Aptos" w:eastAsia="Aptos" w:cs="Aptos"/>
                <w:sz w:val="24"/>
                <w:szCs w:val="24"/>
                <w:lang w:val="en-US"/>
              </w:rPr>
              <w:t>?</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6C5AC"/>
          </w:tcPr>
          <w:p w:rsidR="3A232ED9" w:rsidP="3A232ED9" w:rsidRDefault="3A232ED9" w14:paraId="3FBB774A" w14:textId="2FC5E185">
            <w:pPr>
              <w:spacing w:line="257" w:lineRule="auto"/>
              <w:rPr>
                <w:rFonts w:ascii="Aptos" w:hAnsi="Aptos" w:eastAsia="Aptos" w:cs="Aptos"/>
                <w:sz w:val="24"/>
                <w:szCs w:val="24"/>
              </w:rPr>
            </w:pPr>
            <w:r w:rsidRPr="3A232ED9">
              <w:rPr>
                <w:rFonts w:ascii="Aptos" w:hAnsi="Aptos" w:eastAsia="Aptos" w:cs="Aptos"/>
                <w:sz w:val="24"/>
                <w:szCs w:val="24"/>
                <w:lang w:val="en"/>
              </w:rPr>
              <w:t>Never | Rarely | Sometimes | Often | Always</w:t>
            </w:r>
            <w:r w:rsidRPr="3A232ED9">
              <w:rPr>
                <w:rFonts w:ascii="Aptos" w:hAnsi="Aptos" w:eastAsia="Aptos" w:cs="Aptos"/>
                <w:sz w:val="24"/>
                <w:szCs w:val="24"/>
              </w:rPr>
              <w:t> </w:t>
            </w:r>
          </w:p>
        </w:tc>
      </w:tr>
      <w:tr w:rsidR="3A232ED9" w:rsidTr="3A232ED9" w14:paraId="05634639"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7FE60E4A" w14:textId="357E7C69">
            <w:pPr>
              <w:spacing w:line="257" w:lineRule="auto"/>
              <w:rPr>
                <w:rFonts w:ascii="Aptos" w:hAnsi="Aptos" w:eastAsia="Aptos" w:cs="Aptos"/>
                <w:sz w:val="24"/>
                <w:szCs w:val="24"/>
              </w:rPr>
            </w:pPr>
            <w:r w:rsidRPr="3A232ED9">
              <w:rPr>
                <w:rFonts w:ascii="Aptos" w:hAnsi="Aptos" w:eastAsia="Aptos" w:cs="Aptos"/>
                <w:sz w:val="24"/>
                <w:szCs w:val="24"/>
                <w:lang w:val="en"/>
              </w:rPr>
              <w:t>2.26</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3CB23885" w14:textId="5C3E546F">
            <w:pPr>
              <w:spacing w:line="257" w:lineRule="auto"/>
              <w:rPr>
                <w:rFonts w:ascii="Aptos" w:hAnsi="Aptos" w:eastAsia="Aptos" w:cs="Aptos"/>
                <w:sz w:val="24"/>
                <w:szCs w:val="24"/>
              </w:rPr>
            </w:pPr>
            <w:r w:rsidRPr="3A232ED9">
              <w:rPr>
                <w:rFonts w:ascii="Aptos" w:hAnsi="Aptos" w:eastAsia="Aptos" w:cs="Aptos"/>
                <w:sz w:val="24"/>
                <w:szCs w:val="24"/>
                <w:lang w:val="en-US"/>
              </w:rPr>
              <w:t xml:space="preserve">Have you ever taken any time out of </w:t>
            </w:r>
            <w:proofErr w:type="spellStart"/>
            <w:r w:rsidRPr="3A232ED9">
              <w:rPr>
                <w:rFonts w:ascii="Aptos" w:hAnsi="Aptos" w:eastAsia="Aptos" w:cs="Aptos"/>
                <w:sz w:val="24"/>
                <w:szCs w:val="24"/>
                <w:lang w:val="en-US"/>
              </w:rPr>
              <w:t>programme</w:t>
            </w:r>
            <w:proofErr w:type="spellEnd"/>
            <w:r w:rsidRPr="3A232ED9">
              <w:rPr>
                <w:rFonts w:ascii="Aptos" w:hAnsi="Aptos" w:eastAsia="Aptos" w:cs="Aptos"/>
                <w:sz w:val="24"/>
                <w:szCs w:val="24"/>
                <w:lang w:val="en-US"/>
              </w:rPr>
              <w:t xml:space="preserve"> (OOP) for experience/training?  (Please select all that apply)</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FFFFF" w:themeFill="background1"/>
          </w:tcPr>
          <w:p w:rsidR="3A232ED9" w:rsidP="3A232ED9" w:rsidRDefault="3A232ED9" w14:paraId="23FEF7A8" w14:textId="6A2CCF64">
            <w:pPr>
              <w:spacing w:line="257" w:lineRule="auto"/>
              <w:rPr>
                <w:rFonts w:ascii="Aptos" w:hAnsi="Aptos" w:eastAsia="Aptos" w:cs="Aptos"/>
                <w:sz w:val="24"/>
                <w:szCs w:val="24"/>
              </w:rPr>
            </w:pPr>
            <w:r w:rsidRPr="3A232ED9">
              <w:rPr>
                <w:rFonts w:ascii="Aptos" w:hAnsi="Aptos" w:eastAsia="Aptos" w:cs="Aptos"/>
                <w:sz w:val="24"/>
                <w:szCs w:val="24"/>
              </w:rPr>
              <w:t xml:space="preserve">Out of programme for clinical training | Out of programme for clinical experience | Out of programme for research | Out of programme for career break | Out of programme experience/training | Out of </w:t>
            </w:r>
            <w:r w:rsidRPr="3A232ED9">
              <w:rPr>
                <w:rFonts w:ascii="Aptos" w:hAnsi="Aptos" w:eastAsia="Aptos" w:cs="Aptos"/>
                <w:sz w:val="24"/>
                <w:szCs w:val="24"/>
              </w:rPr>
              <w:lastRenderedPageBreak/>
              <w:t>programme for research /training | No</w:t>
            </w:r>
          </w:p>
        </w:tc>
      </w:tr>
      <w:tr w:rsidR="3A232ED9" w:rsidTr="3A232ED9" w14:paraId="5CB02000"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12B569B6" w14:textId="5908E4D7">
            <w:pPr>
              <w:spacing w:line="257" w:lineRule="auto"/>
              <w:rPr>
                <w:rFonts w:ascii="Aptos" w:hAnsi="Aptos" w:eastAsia="Aptos" w:cs="Aptos"/>
                <w:sz w:val="24"/>
                <w:szCs w:val="24"/>
              </w:rPr>
            </w:pPr>
            <w:r w:rsidRPr="3A232ED9">
              <w:rPr>
                <w:rFonts w:ascii="Aptos" w:hAnsi="Aptos" w:eastAsia="Aptos" w:cs="Aptos"/>
                <w:sz w:val="24"/>
                <w:szCs w:val="24"/>
                <w:lang w:val="en"/>
              </w:rPr>
              <w:lastRenderedPageBreak/>
              <w:t>2.27</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3912303C" w14:textId="527433CB">
            <w:pPr>
              <w:spacing w:line="257" w:lineRule="auto"/>
              <w:rPr>
                <w:rFonts w:ascii="Aptos" w:hAnsi="Aptos" w:eastAsia="Aptos" w:cs="Aptos"/>
                <w:sz w:val="24"/>
                <w:szCs w:val="24"/>
              </w:rPr>
            </w:pPr>
            <w:r w:rsidRPr="3A232ED9">
              <w:rPr>
                <w:rFonts w:ascii="Aptos" w:hAnsi="Aptos" w:eastAsia="Aptos" w:cs="Aptos"/>
                <w:sz w:val="24"/>
                <w:szCs w:val="24"/>
                <w:lang w:val="en-US"/>
              </w:rPr>
              <w:t>Within your average working week how many non-clinical sessions do you have?  For audit, admin, projects, private study time (a session is defined as a morning or afternoon shift)?</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7CAAC" w:themeFill="accent2" w:themeFillTint="66"/>
          </w:tcPr>
          <w:p w:rsidR="3A232ED9" w:rsidP="3A232ED9" w:rsidRDefault="3A232ED9" w14:paraId="309B665F" w14:textId="73A39309">
            <w:pPr>
              <w:spacing w:line="257" w:lineRule="auto"/>
              <w:rPr>
                <w:rFonts w:ascii="Aptos" w:hAnsi="Aptos" w:eastAsia="Aptos" w:cs="Aptos"/>
                <w:sz w:val="24"/>
                <w:szCs w:val="24"/>
              </w:rPr>
            </w:pPr>
            <w:r w:rsidRPr="3A232ED9">
              <w:rPr>
                <w:rFonts w:ascii="Aptos" w:hAnsi="Aptos" w:eastAsia="Aptos" w:cs="Aptos"/>
                <w:sz w:val="24"/>
                <w:szCs w:val="24"/>
              </w:rPr>
              <w:t>0 session | 0.5 session | 1 session | 2 sessions | 3 sessions | 4 sessions | &gt;4 sessions</w:t>
            </w:r>
          </w:p>
        </w:tc>
      </w:tr>
      <w:tr w:rsidR="3A232ED9" w:rsidTr="3A232ED9" w14:paraId="021BC5B8"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524FD8B4" w14:textId="3C3BB9A7">
            <w:pPr>
              <w:spacing w:line="257" w:lineRule="auto"/>
              <w:rPr>
                <w:rFonts w:ascii="Aptos" w:hAnsi="Aptos" w:eastAsia="Aptos" w:cs="Aptos"/>
                <w:sz w:val="24"/>
                <w:szCs w:val="24"/>
              </w:rPr>
            </w:pPr>
            <w:r w:rsidRPr="3A232ED9">
              <w:rPr>
                <w:rFonts w:ascii="Aptos" w:hAnsi="Aptos" w:eastAsia="Aptos" w:cs="Aptos"/>
                <w:sz w:val="24"/>
                <w:szCs w:val="24"/>
                <w:lang w:val="en"/>
              </w:rPr>
              <w:t>2.28</w:t>
            </w:r>
            <w:r w:rsidRPr="3A232ED9">
              <w:rPr>
                <w:rFonts w:ascii="Aptos" w:hAnsi="Aptos" w:eastAsia="Aptos" w:cs="Aptos"/>
                <w:sz w:val="24"/>
                <w:szCs w:val="24"/>
              </w:rPr>
              <w:t> </w:t>
            </w:r>
          </w:p>
        </w:tc>
        <w:tc>
          <w:tcPr>
            <w:tcW w:w="48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73A87FCF" w14:textId="0082C991">
            <w:pPr>
              <w:spacing w:line="257" w:lineRule="auto"/>
              <w:rPr>
                <w:rFonts w:ascii="Aptos" w:hAnsi="Aptos" w:eastAsia="Aptos" w:cs="Aptos"/>
                <w:sz w:val="24"/>
                <w:szCs w:val="24"/>
              </w:rPr>
            </w:pPr>
            <w:r w:rsidRPr="3A232ED9">
              <w:rPr>
                <w:rFonts w:ascii="Aptos" w:hAnsi="Aptos" w:eastAsia="Aptos" w:cs="Aptos"/>
                <w:sz w:val="24"/>
                <w:szCs w:val="24"/>
                <w:lang w:val="en"/>
              </w:rPr>
              <w:t>How often are you asked to cover service clinical work during these "admin/ private study" sessions?</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4147F85D" w14:textId="38DC6A7D">
            <w:pPr>
              <w:spacing w:line="257" w:lineRule="auto"/>
              <w:rPr>
                <w:rFonts w:ascii="Aptos" w:hAnsi="Aptos" w:eastAsia="Aptos" w:cs="Aptos"/>
                <w:sz w:val="24"/>
                <w:szCs w:val="24"/>
              </w:rPr>
            </w:pPr>
            <w:r w:rsidRPr="3A232ED9">
              <w:rPr>
                <w:rFonts w:ascii="Aptos" w:hAnsi="Aptos" w:eastAsia="Aptos" w:cs="Aptos"/>
                <w:sz w:val="24"/>
                <w:szCs w:val="24"/>
                <w:lang w:val="en"/>
              </w:rPr>
              <w:t>Never | Rarely | Sometimes | Often | Always</w:t>
            </w:r>
            <w:r w:rsidRPr="3A232ED9">
              <w:rPr>
                <w:rFonts w:ascii="Aptos" w:hAnsi="Aptos" w:eastAsia="Aptos" w:cs="Aptos"/>
                <w:sz w:val="24"/>
                <w:szCs w:val="24"/>
              </w:rPr>
              <w:t> </w:t>
            </w:r>
          </w:p>
        </w:tc>
      </w:tr>
      <w:tr w:rsidR="3A232ED9" w:rsidTr="3A232ED9" w14:paraId="669ECDAF" w14:textId="77777777">
        <w:trPr>
          <w:trHeight w:val="300"/>
        </w:trPr>
        <w:tc>
          <w:tcPr>
            <w:tcW w:w="900"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F7CAAC" w:themeFill="accent2" w:themeFillTint="66"/>
          </w:tcPr>
          <w:p w:rsidR="3A232ED9" w:rsidP="3A232ED9" w:rsidRDefault="3A232ED9" w14:paraId="448160DA" w14:textId="1CB1F4A1">
            <w:pPr>
              <w:spacing w:line="257" w:lineRule="auto"/>
              <w:rPr>
                <w:rFonts w:ascii="Aptos" w:hAnsi="Aptos" w:eastAsia="Aptos" w:cs="Aptos"/>
                <w:sz w:val="24"/>
                <w:szCs w:val="24"/>
              </w:rPr>
            </w:pPr>
            <w:r w:rsidRPr="3A232ED9">
              <w:rPr>
                <w:rFonts w:ascii="Aptos" w:hAnsi="Aptos" w:eastAsia="Aptos" w:cs="Aptos"/>
                <w:sz w:val="24"/>
                <w:szCs w:val="24"/>
                <w:lang w:val="en"/>
              </w:rPr>
              <w:t>2.29</w:t>
            </w:r>
          </w:p>
        </w:tc>
        <w:tc>
          <w:tcPr>
            <w:tcW w:w="4860"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F7CAAC" w:themeFill="accent2" w:themeFillTint="66"/>
          </w:tcPr>
          <w:p w:rsidR="3A232ED9" w:rsidP="3A232ED9" w:rsidRDefault="3A232ED9" w14:paraId="6F76BD31" w14:textId="6A04684B">
            <w:pPr>
              <w:spacing w:line="257" w:lineRule="auto"/>
              <w:rPr>
                <w:rFonts w:ascii="Aptos" w:hAnsi="Aptos" w:eastAsia="Aptos" w:cs="Aptos"/>
                <w:sz w:val="24"/>
                <w:szCs w:val="24"/>
              </w:rPr>
            </w:pPr>
            <w:r w:rsidRPr="3A232ED9">
              <w:rPr>
                <w:rFonts w:ascii="Aptos" w:hAnsi="Aptos" w:eastAsia="Aptos" w:cs="Aptos"/>
                <w:sz w:val="24"/>
                <w:szCs w:val="24"/>
                <w:lang w:val="en-US"/>
              </w:rPr>
              <w:t>When do you find time to update your ePortfolio/study for exams:</w:t>
            </w:r>
            <w:r w:rsidRPr="3A232ED9">
              <w:rPr>
                <w:rFonts w:ascii="Aptos" w:hAnsi="Aptos" w:eastAsia="Aptos" w:cs="Aptos"/>
                <w:sz w:val="24"/>
                <w:szCs w:val="24"/>
              </w:rPr>
              <w:t> </w:t>
            </w:r>
          </w:p>
        </w:tc>
        <w:tc>
          <w:tcPr>
            <w:tcW w:w="3060" w:type="dxa"/>
            <w:tcBorders>
              <w:top w:val="single" w:color="000000" w:themeColor="text1" w:sz="6" w:space="0"/>
              <w:left w:val="single" w:color="000000" w:themeColor="text1" w:sz="6" w:space="0"/>
              <w:bottom w:val="single" w:color="auto" w:sz="6" w:space="0"/>
              <w:right w:val="single" w:color="000000" w:themeColor="text1" w:sz="6" w:space="0"/>
            </w:tcBorders>
            <w:shd w:val="clear" w:color="auto" w:fill="F7CAAC" w:themeFill="accent2" w:themeFillTint="66"/>
          </w:tcPr>
          <w:p w:rsidR="3A232ED9" w:rsidP="3A232ED9" w:rsidRDefault="3A232ED9" w14:paraId="2F6CB0B5" w14:textId="60615F97">
            <w:pPr>
              <w:spacing w:line="257" w:lineRule="auto"/>
              <w:rPr>
                <w:rFonts w:ascii="Aptos" w:hAnsi="Aptos" w:eastAsia="Aptos" w:cs="Aptos"/>
                <w:sz w:val="24"/>
                <w:szCs w:val="24"/>
              </w:rPr>
            </w:pPr>
            <w:r w:rsidRPr="3A232ED9">
              <w:rPr>
                <w:rFonts w:ascii="Aptos" w:hAnsi="Aptos" w:eastAsia="Aptos" w:cs="Aptos"/>
                <w:sz w:val="24"/>
                <w:szCs w:val="24"/>
                <w:lang w:val="en"/>
              </w:rPr>
              <w:t>Early morning | During the working week | Evenings | Weekends | Designated study leave time | Annual leave</w:t>
            </w:r>
            <w:r w:rsidRPr="3A232ED9">
              <w:rPr>
                <w:rFonts w:ascii="Aptos" w:hAnsi="Aptos" w:eastAsia="Aptos" w:cs="Aptos"/>
                <w:sz w:val="24"/>
                <w:szCs w:val="24"/>
              </w:rPr>
              <w:t> </w:t>
            </w:r>
          </w:p>
        </w:tc>
      </w:tr>
      <w:tr w:rsidR="3A232ED9" w:rsidTr="3A232ED9" w14:paraId="66869831" w14:textId="77777777">
        <w:trPr>
          <w:trHeight w:val="300"/>
        </w:trPr>
        <w:tc>
          <w:tcPr>
            <w:tcW w:w="900" w:type="dxa"/>
            <w:tcBorders>
              <w:top w:val="single" w:color="auto" w:sz="6" w:space="0"/>
              <w:left w:val="single" w:color="auto" w:sz="6" w:space="0"/>
              <w:bottom w:val="single" w:color="auto" w:sz="6" w:space="0"/>
              <w:right w:val="single" w:color="auto" w:sz="6" w:space="0"/>
            </w:tcBorders>
            <w:shd w:val="clear" w:color="auto" w:fill="FFFFFF" w:themeFill="background1"/>
          </w:tcPr>
          <w:p w:rsidR="3A232ED9" w:rsidP="3A232ED9" w:rsidRDefault="3A232ED9" w14:paraId="0002E0A6" w14:textId="0680CE70">
            <w:pPr>
              <w:spacing w:line="257" w:lineRule="auto"/>
              <w:rPr>
                <w:rFonts w:ascii="Aptos" w:hAnsi="Aptos" w:eastAsia="Aptos" w:cs="Aptos"/>
                <w:sz w:val="24"/>
                <w:szCs w:val="24"/>
              </w:rPr>
            </w:pPr>
            <w:r w:rsidRPr="3A232ED9">
              <w:rPr>
                <w:rFonts w:ascii="Aptos" w:hAnsi="Aptos" w:eastAsia="Aptos" w:cs="Aptos"/>
                <w:sz w:val="24"/>
                <w:szCs w:val="24"/>
                <w:lang w:val="en"/>
              </w:rPr>
              <w:t>2.36</w:t>
            </w:r>
          </w:p>
        </w:tc>
        <w:tc>
          <w:tcPr>
            <w:tcW w:w="4860" w:type="dxa"/>
            <w:tcBorders>
              <w:top w:val="single" w:color="auto" w:sz="6" w:space="0"/>
              <w:left w:val="single" w:color="auto" w:sz="6" w:space="0"/>
              <w:bottom w:val="single" w:color="auto" w:sz="6" w:space="0"/>
              <w:right w:val="single" w:color="auto" w:sz="6" w:space="0"/>
            </w:tcBorders>
            <w:shd w:val="clear" w:color="auto" w:fill="FFFFFF" w:themeFill="background1"/>
          </w:tcPr>
          <w:p w:rsidR="3A232ED9" w:rsidP="3A232ED9" w:rsidRDefault="3A232ED9" w14:paraId="67292E2E" w14:textId="143704E1">
            <w:pPr>
              <w:spacing w:line="257" w:lineRule="auto"/>
              <w:rPr>
                <w:rFonts w:ascii="Aptos" w:hAnsi="Aptos" w:eastAsia="Aptos" w:cs="Aptos"/>
                <w:sz w:val="24"/>
                <w:szCs w:val="24"/>
              </w:rPr>
            </w:pPr>
            <w:r w:rsidRPr="3A232ED9">
              <w:rPr>
                <w:rFonts w:ascii="Aptos" w:hAnsi="Aptos" w:eastAsia="Aptos" w:cs="Aptos"/>
                <w:sz w:val="24"/>
                <w:szCs w:val="24"/>
              </w:rPr>
              <w:t>Are you currently training Full time or Less Than Full Time (LTFT)?</w:t>
            </w:r>
          </w:p>
        </w:tc>
        <w:tc>
          <w:tcPr>
            <w:tcW w:w="3060" w:type="dxa"/>
            <w:tcBorders>
              <w:top w:val="single" w:color="auto" w:sz="6" w:space="0"/>
              <w:left w:val="single" w:color="auto" w:sz="6" w:space="0"/>
              <w:bottom w:val="single" w:color="auto" w:sz="6" w:space="0"/>
              <w:right w:val="single" w:color="auto" w:sz="6" w:space="0"/>
            </w:tcBorders>
            <w:shd w:val="clear" w:color="auto" w:fill="FFFFFF" w:themeFill="background1"/>
          </w:tcPr>
          <w:p w:rsidR="3A232ED9" w:rsidP="3A232ED9" w:rsidRDefault="3A232ED9" w14:paraId="06A33BA1" w14:textId="123AD8B8">
            <w:pPr>
              <w:tabs>
                <w:tab w:val="left" w:pos="2082"/>
              </w:tabs>
              <w:spacing w:line="257" w:lineRule="auto"/>
              <w:rPr>
                <w:rFonts w:ascii="Aptos" w:hAnsi="Aptos" w:eastAsia="Aptos" w:cs="Aptos"/>
                <w:sz w:val="24"/>
                <w:szCs w:val="24"/>
              </w:rPr>
            </w:pPr>
            <w:r w:rsidRPr="3A232ED9">
              <w:rPr>
                <w:rFonts w:ascii="Aptos" w:hAnsi="Aptos" w:eastAsia="Aptos" w:cs="Aptos"/>
                <w:sz w:val="24"/>
                <w:szCs w:val="24"/>
              </w:rPr>
              <w:t>Full time | LTFT 50% | LTFT 60% | LTFT 70% | LTFT 80% | LTFT 90% | Other (please specify)</w:t>
            </w:r>
          </w:p>
        </w:tc>
      </w:tr>
    </w:tbl>
    <w:p w:rsidR="4C9258E6" w:rsidP="3A232ED9" w:rsidRDefault="7C54500E" w14:paraId="65DBBEEE" w14:textId="4E51B01E">
      <w:pPr>
        <w:spacing w:line="257" w:lineRule="auto"/>
        <w:rPr>
          <w:rFonts w:ascii="Aptos" w:hAnsi="Aptos" w:eastAsia="Aptos" w:cs="Aptos"/>
          <w:color w:val="000000" w:themeColor="text1"/>
          <w:sz w:val="24"/>
          <w:szCs w:val="24"/>
        </w:rPr>
      </w:pPr>
      <w:r w:rsidRPr="3A232ED9">
        <w:rPr>
          <w:rFonts w:ascii="Aptos" w:hAnsi="Aptos" w:eastAsia="Aptos" w:cs="Aptos"/>
          <w:color w:val="000000" w:themeColor="text1"/>
          <w:sz w:val="24"/>
          <w:szCs w:val="24"/>
          <w:lang w:val="en"/>
        </w:rPr>
        <w:t> </w:t>
      </w:r>
      <w:r w:rsidRPr="3A232ED9">
        <w:rPr>
          <w:rFonts w:ascii="Aptos" w:hAnsi="Aptos" w:eastAsia="Aptos" w:cs="Aptos"/>
          <w:color w:val="000000" w:themeColor="text1"/>
          <w:sz w:val="24"/>
          <w:szCs w:val="24"/>
        </w:rPr>
        <w:t> </w:t>
      </w:r>
    </w:p>
    <w:p w:rsidR="4C9258E6" w:rsidP="3A232ED9" w:rsidRDefault="7C54500E" w14:paraId="0E2F47A0" w14:textId="41160DBB">
      <w:pPr>
        <w:spacing w:line="257" w:lineRule="auto"/>
        <w:rPr>
          <w:rFonts w:ascii="Aptos" w:hAnsi="Aptos" w:eastAsia="Aptos" w:cs="Aptos"/>
          <w:color w:val="000000" w:themeColor="text1"/>
          <w:sz w:val="24"/>
          <w:szCs w:val="24"/>
        </w:rPr>
      </w:pPr>
      <w:r w:rsidRPr="3A232ED9">
        <w:rPr>
          <w:rFonts w:ascii="Aptos" w:hAnsi="Aptos" w:eastAsia="Aptos" w:cs="Aptos"/>
          <w:b/>
          <w:bCs/>
          <w:color w:val="000000" w:themeColor="text1"/>
          <w:sz w:val="24"/>
          <w:szCs w:val="24"/>
          <w:lang w:val="en"/>
        </w:rPr>
        <w:t>Attrition</w:t>
      </w:r>
      <w:r w:rsidRPr="3A232ED9">
        <w:rPr>
          <w:rFonts w:ascii="Aptos" w:hAnsi="Aptos" w:eastAsia="Aptos" w:cs="Aptos"/>
          <w:color w:val="000000" w:themeColor="text1"/>
          <w:sz w:val="24"/>
          <w:szCs w:val="24"/>
        </w:rPr>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15"/>
        <w:gridCol w:w="2970"/>
        <w:gridCol w:w="4980"/>
      </w:tblGrid>
      <w:tr w:rsidR="3A232ED9" w:rsidTr="3A232ED9" w14:paraId="01AA80F3"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5" w:themeFillTint="33"/>
          </w:tcPr>
          <w:p w:rsidR="3A232ED9" w:rsidP="3A232ED9" w:rsidRDefault="3A232ED9" w14:paraId="5C3F4DD9" w14:textId="60F0A1F7">
            <w:pPr>
              <w:spacing w:line="257" w:lineRule="auto"/>
              <w:rPr>
                <w:rFonts w:ascii="Aptos" w:hAnsi="Aptos" w:eastAsia="Aptos" w:cs="Aptos"/>
                <w:sz w:val="24"/>
                <w:szCs w:val="24"/>
              </w:rPr>
            </w:pPr>
            <w:r w:rsidRPr="3A232ED9">
              <w:rPr>
                <w:rFonts w:ascii="Aptos" w:hAnsi="Aptos" w:eastAsia="Aptos" w:cs="Aptos"/>
                <w:sz w:val="24"/>
                <w:szCs w:val="24"/>
                <w:lang w:val="en"/>
              </w:rPr>
              <w:t>20.1</w:t>
            </w:r>
            <w:r w:rsidRPr="3A232ED9">
              <w:rPr>
                <w:rFonts w:ascii="Aptos" w:hAnsi="Aptos" w:eastAsia="Aptos" w:cs="Aptos"/>
                <w:sz w:val="24"/>
                <w:szCs w:val="24"/>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5" w:themeFillTint="33"/>
          </w:tcPr>
          <w:p w:rsidR="3A232ED9" w:rsidP="3A232ED9" w:rsidRDefault="3A232ED9" w14:paraId="0845372D" w14:textId="522BA9C0">
            <w:pPr>
              <w:spacing w:line="257" w:lineRule="auto"/>
              <w:rPr>
                <w:rFonts w:ascii="Aptos" w:hAnsi="Aptos" w:eastAsia="Aptos" w:cs="Aptos"/>
                <w:sz w:val="24"/>
                <w:szCs w:val="24"/>
              </w:rPr>
            </w:pPr>
            <w:r w:rsidRPr="3A232ED9">
              <w:rPr>
                <w:rFonts w:ascii="Aptos" w:hAnsi="Aptos" w:eastAsia="Aptos" w:cs="Aptos"/>
                <w:sz w:val="24"/>
                <w:szCs w:val="24"/>
                <w:lang w:val="en"/>
              </w:rPr>
              <w:t>Since starting specialty training how often have you seriously considered leaving O&amp;G?</w:t>
            </w:r>
            <w:r w:rsidRPr="3A232ED9">
              <w:rPr>
                <w:rFonts w:ascii="Aptos" w:hAnsi="Aptos" w:eastAsia="Aptos" w:cs="Aptos"/>
                <w:sz w:val="24"/>
                <w:szCs w:val="24"/>
              </w:rPr>
              <w:t> </w:t>
            </w:r>
          </w:p>
        </w:tc>
        <w:tc>
          <w:tcPr>
            <w:tcW w:w="49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D9E2F3" w:themeFill="accent5" w:themeFillTint="33"/>
          </w:tcPr>
          <w:p w:rsidR="3A232ED9" w:rsidP="3A232ED9" w:rsidRDefault="3A232ED9" w14:paraId="61B7C99F" w14:textId="125D59B7">
            <w:pPr>
              <w:spacing w:line="257" w:lineRule="auto"/>
              <w:rPr>
                <w:rFonts w:ascii="Aptos" w:hAnsi="Aptos" w:eastAsia="Aptos" w:cs="Aptos"/>
                <w:sz w:val="24"/>
                <w:szCs w:val="24"/>
              </w:rPr>
            </w:pPr>
            <w:r w:rsidRPr="3A232ED9">
              <w:rPr>
                <w:rFonts w:ascii="Aptos" w:hAnsi="Aptos" w:eastAsia="Aptos" w:cs="Aptos"/>
                <w:sz w:val="24"/>
                <w:szCs w:val="24"/>
                <w:lang w:val="en"/>
              </w:rPr>
              <w:t>Daily | Weekly | Monthly | Occasionally | Never</w:t>
            </w:r>
            <w:r w:rsidRPr="3A232ED9">
              <w:rPr>
                <w:rFonts w:ascii="Aptos" w:hAnsi="Aptos" w:eastAsia="Aptos" w:cs="Aptos"/>
                <w:sz w:val="24"/>
                <w:szCs w:val="24"/>
              </w:rPr>
              <w:t> </w:t>
            </w:r>
          </w:p>
        </w:tc>
      </w:tr>
      <w:tr w:rsidR="3A232ED9" w:rsidTr="3A232ED9" w14:paraId="60126141"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7262448D" w14:textId="0977C616">
            <w:pPr>
              <w:spacing w:line="257" w:lineRule="auto"/>
              <w:rPr>
                <w:rFonts w:ascii="Aptos" w:hAnsi="Aptos" w:eastAsia="Aptos" w:cs="Aptos"/>
                <w:sz w:val="24"/>
                <w:szCs w:val="24"/>
              </w:rPr>
            </w:pPr>
            <w:r w:rsidRPr="3A232ED9">
              <w:rPr>
                <w:rFonts w:ascii="Aptos" w:hAnsi="Aptos" w:eastAsia="Aptos" w:cs="Aptos"/>
                <w:sz w:val="24"/>
                <w:szCs w:val="24"/>
                <w:lang w:val="en"/>
              </w:rPr>
              <w:t>20.1.2</w:t>
            </w:r>
            <w:r w:rsidRPr="3A232ED9">
              <w:rPr>
                <w:rFonts w:ascii="Aptos" w:hAnsi="Aptos" w:eastAsia="Aptos" w:cs="Aptos"/>
                <w:sz w:val="24"/>
                <w:szCs w:val="24"/>
              </w:rPr>
              <w:t> </w:t>
            </w:r>
          </w:p>
        </w:tc>
        <w:tc>
          <w:tcPr>
            <w:tcW w:w="297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23706F03" w14:textId="3A0A4CFE">
            <w:pPr>
              <w:spacing w:line="257" w:lineRule="auto"/>
              <w:rPr>
                <w:rFonts w:ascii="Aptos" w:hAnsi="Aptos" w:eastAsia="Aptos" w:cs="Aptos"/>
                <w:sz w:val="24"/>
                <w:szCs w:val="24"/>
              </w:rPr>
            </w:pPr>
            <w:r w:rsidRPr="3A232ED9">
              <w:rPr>
                <w:rFonts w:ascii="Aptos" w:hAnsi="Aptos" w:eastAsia="Aptos" w:cs="Aptos"/>
                <w:sz w:val="24"/>
                <w:szCs w:val="24"/>
              </w:rPr>
              <w:t>If you are currently considering, or would consider leaving the specialty, what reasons would you give? (Please select all that apply).</w:t>
            </w:r>
          </w:p>
        </w:tc>
        <w:tc>
          <w:tcPr>
            <w:tcW w:w="4980"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3A232ED9" w:rsidP="3A232ED9" w:rsidRDefault="3A232ED9" w14:paraId="2FD001CD" w14:textId="367A74AF">
            <w:pPr>
              <w:spacing w:line="257" w:lineRule="auto"/>
              <w:rPr>
                <w:rFonts w:ascii="Aptos" w:hAnsi="Aptos" w:eastAsia="Aptos" w:cs="Aptos"/>
                <w:sz w:val="24"/>
                <w:szCs w:val="24"/>
              </w:rPr>
            </w:pPr>
            <w:r w:rsidRPr="3A232ED9">
              <w:rPr>
                <w:rFonts w:ascii="Aptos" w:hAnsi="Aptos" w:eastAsia="Aptos" w:cs="Aptos"/>
                <w:sz w:val="24"/>
                <w:szCs w:val="24"/>
              </w:rPr>
              <w:t xml:space="preserve">Family | Lack of work-life balance | Pay | Long working hours | Shift working | Intense workload | Rota gaps |Delayed rota provision | Desire to work abroad | Inability to work less than full time | Issues with gaining adequate clinical experience when working less than full time | Preference to work in another geographic area | Preference to work in another specialty | Personal Health | Physical demands of the job | Personal mental health | Stress | Lack of clinical supervision | Poor pastoral support | Poor educational supervision | Low morale | No support from colleagues | No social interaction with </w:t>
            </w:r>
            <w:r w:rsidRPr="3A232ED9">
              <w:rPr>
                <w:rFonts w:ascii="Aptos" w:hAnsi="Aptos" w:eastAsia="Aptos" w:cs="Aptos"/>
                <w:sz w:val="24"/>
                <w:szCs w:val="24"/>
              </w:rPr>
              <w:lastRenderedPageBreak/>
              <w:t>colleagues | Commuting distance | Frustration with training |Frustration with health service | Blame culture | Lack of improvement |Litigation | Fear of litigation | No opportunities to debrief following adverse event or serious incident | No support following adverse event or serious incident | Patient care/safety concerns | Concerns with new contract | Insufficient financial remuneration | Under resourced health service | Racism | N/A | Other (Please specify)</w:t>
            </w:r>
          </w:p>
        </w:tc>
      </w:tr>
    </w:tbl>
    <w:p w:rsidR="4C9258E6" w:rsidP="3A232ED9" w:rsidRDefault="7C54500E" w14:paraId="78BF6758" w14:textId="2713DC0D">
      <w:pPr>
        <w:spacing w:line="257" w:lineRule="auto"/>
        <w:rPr>
          <w:rFonts w:ascii="Aptos" w:hAnsi="Aptos" w:eastAsia="Aptos" w:cs="Aptos"/>
          <w:color w:val="000000" w:themeColor="text1"/>
          <w:sz w:val="24"/>
          <w:szCs w:val="24"/>
        </w:rPr>
      </w:pPr>
      <w:r w:rsidRPr="3A232ED9">
        <w:rPr>
          <w:rFonts w:ascii="Aptos" w:hAnsi="Aptos" w:eastAsia="Aptos" w:cs="Aptos"/>
          <w:b/>
          <w:bCs/>
          <w:color w:val="000000" w:themeColor="text1"/>
          <w:sz w:val="24"/>
          <w:szCs w:val="24"/>
          <w:lang w:val="en"/>
        </w:rPr>
        <w:lastRenderedPageBreak/>
        <w:t>Burnout</w:t>
      </w:r>
      <w:r w:rsidRPr="3A232ED9">
        <w:rPr>
          <w:rFonts w:ascii="Aptos" w:hAnsi="Aptos" w:eastAsia="Aptos" w:cs="Aptos"/>
          <w:color w:val="000000" w:themeColor="text1"/>
          <w:sz w:val="24"/>
          <w:szCs w:val="24"/>
        </w:rPr>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45"/>
        <w:gridCol w:w="4290"/>
        <w:gridCol w:w="3600"/>
      </w:tblGrid>
      <w:tr w:rsidR="3A232ED9" w:rsidTr="3A232ED9" w14:paraId="32AF1238"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BE4D5" w:themeFill="accent2" w:themeFillTint="33"/>
          </w:tcPr>
          <w:p w:rsidR="3A232ED9" w:rsidP="3A232ED9" w:rsidRDefault="3A232ED9" w14:paraId="1E12CDA8" w14:textId="6FE80483">
            <w:pPr>
              <w:spacing w:line="257" w:lineRule="auto"/>
              <w:rPr>
                <w:rFonts w:ascii="Aptos" w:hAnsi="Aptos" w:eastAsia="Aptos" w:cs="Aptos"/>
                <w:sz w:val="24"/>
                <w:szCs w:val="24"/>
              </w:rPr>
            </w:pPr>
            <w:r w:rsidRPr="3A232ED9">
              <w:rPr>
                <w:rFonts w:ascii="Aptos" w:hAnsi="Aptos" w:eastAsia="Aptos" w:cs="Aptos"/>
                <w:sz w:val="24"/>
                <w:szCs w:val="24"/>
                <w:lang w:val="en"/>
              </w:rPr>
              <w:t> </w:t>
            </w:r>
            <w:r w:rsidRPr="3A232ED9">
              <w:rPr>
                <w:rFonts w:ascii="Aptos" w:hAnsi="Aptos" w:eastAsia="Aptos" w:cs="Aptos"/>
                <w:sz w:val="24"/>
                <w:szCs w:val="24"/>
              </w:rPr>
              <w:t> 21</w:t>
            </w:r>
          </w:p>
        </w:tc>
        <w:tc>
          <w:tcPr>
            <w:tcW w:w="7890" w:type="dxa"/>
            <w:gridSpan w:val="2"/>
            <w:tcBorders>
              <w:top w:val="single" w:color="auto" w:sz="6" w:space="0"/>
              <w:left w:val="single" w:color="auto" w:sz="6" w:space="0"/>
              <w:bottom w:val="single" w:color="auto" w:sz="6" w:space="0"/>
              <w:right w:val="single" w:color="auto" w:sz="6" w:space="0"/>
            </w:tcBorders>
            <w:shd w:val="clear" w:color="auto" w:fill="FBE4D5" w:themeFill="accent2" w:themeFillTint="33"/>
          </w:tcPr>
          <w:p w:rsidR="3A232ED9" w:rsidP="3A232ED9" w:rsidRDefault="3A232ED9" w14:paraId="0F2CDF4E" w14:textId="36B29D80">
            <w:pPr>
              <w:spacing w:line="257" w:lineRule="auto"/>
              <w:rPr>
                <w:rFonts w:ascii="Aptos" w:hAnsi="Aptos" w:eastAsia="Aptos" w:cs="Aptos"/>
                <w:sz w:val="24"/>
                <w:szCs w:val="24"/>
              </w:rPr>
            </w:pPr>
            <w:r w:rsidRPr="3A232ED9">
              <w:rPr>
                <w:rFonts w:ascii="Aptos" w:hAnsi="Aptos" w:eastAsia="Aptos" w:cs="Aptos"/>
                <w:sz w:val="24"/>
                <w:szCs w:val="24"/>
              </w:rPr>
              <w:t>The following questions have been taken from the Copenhagen Burnout Inventory:</w:t>
            </w:r>
            <w:r w:rsidRPr="3A232ED9">
              <w:rPr>
                <w:rFonts w:ascii="Aptos" w:hAnsi="Aptos" w:eastAsia="Aptos" w:cs="Aptos"/>
                <w:sz w:val="24"/>
                <w:szCs w:val="24"/>
                <w:lang w:val="en"/>
              </w:rPr>
              <w:t> </w:t>
            </w:r>
            <w:r w:rsidRPr="3A232ED9">
              <w:rPr>
                <w:rFonts w:ascii="Aptos" w:hAnsi="Aptos" w:eastAsia="Aptos" w:cs="Aptos"/>
                <w:sz w:val="24"/>
                <w:szCs w:val="24"/>
              </w:rPr>
              <w:t> </w:t>
            </w:r>
          </w:p>
        </w:tc>
      </w:tr>
      <w:tr w:rsidR="3A232ED9" w:rsidTr="3A232ED9" w14:paraId="2DB34370" w14:textId="77777777">
        <w:trPr>
          <w:trHeight w:val="300"/>
        </w:trPr>
        <w:tc>
          <w:tcPr>
            <w:tcW w:w="945"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589C8558" w14:textId="7284DA63">
            <w:pPr>
              <w:spacing w:line="257" w:lineRule="auto"/>
              <w:rPr>
                <w:rFonts w:ascii="Aptos" w:hAnsi="Aptos" w:eastAsia="Aptos" w:cs="Aptos"/>
                <w:sz w:val="24"/>
                <w:szCs w:val="24"/>
              </w:rPr>
            </w:pPr>
            <w:r w:rsidRPr="3A232ED9">
              <w:rPr>
                <w:rFonts w:ascii="Aptos" w:hAnsi="Aptos" w:eastAsia="Aptos" w:cs="Aptos"/>
                <w:sz w:val="24"/>
                <w:szCs w:val="24"/>
              </w:rPr>
              <w:t xml:space="preserve">21.1             </w:t>
            </w:r>
          </w:p>
        </w:tc>
        <w:tc>
          <w:tcPr>
            <w:tcW w:w="4290"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58F1D458" w14:textId="57904C7B">
            <w:pPr>
              <w:spacing w:line="257" w:lineRule="auto"/>
              <w:rPr>
                <w:rFonts w:ascii="Aptos" w:hAnsi="Aptos" w:eastAsia="Aptos" w:cs="Aptos"/>
                <w:sz w:val="24"/>
                <w:szCs w:val="24"/>
              </w:rPr>
            </w:pPr>
            <w:r w:rsidRPr="3A232ED9">
              <w:rPr>
                <w:rFonts w:ascii="Aptos" w:hAnsi="Aptos" w:eastAsia="Aptos" w:cs="Aptos"/>
                <w:sz w:val="24"/>
                <w:szCs w:val="24"/>
              </w:rPr>
              <w:t>Is your work emotionally exhausting?</w:t>
            </w:r>
          </w:p>
        </w:tc>
        <w:tc>
          <w:tcPr>
            <w:tcW w:w="3600"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05F8964B" w14:textId="3C373BDC">
            <w:pPr>
              <w:spacing w:line="257" w:lineRule="auto"/>
              <w:rPr>
                <w:rFonts w:ascii="Aptos" w:hAnsi="Aptos" w:eastAsia="Aptos" w:cs="Aptos"/>
                <w:sz w:val="24"/>
                <w:szCs w:val="24"/>
              </w:rPr>
            </w:pPr>
            <w:r w:rsidRPr="3A232ED9">
              <w:rPr>
                <w:rFonts w:ascii="Aptos" w:hAnsi="Aptos" w:eastAsia="Aptos" w:cs="Aptos"/>
                <w:sz w:val="24"/>
                <w:szCs w:val="24"/>
              </w:rPr>
              <w:t xml:space="preserve">Strongly Agree | Agree | Neither Agree nor Disagree | Disagree | Strongly Disagree </w:t>
            </w:r>
          </w:p>
        </w:tc>
      </w:tr>
      <w:tr w:rsidR="3A232ED9" w:rsidTr="3A232ED9" w14:paraId="6134AFFC"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1FEEDBFE" w14:textId="7D3E907F">
            <w:pPr>
              <w:spacing w:line="257" w:lineRule="auto"/>
              <w:rPr>
                <w:rFonts w:ascii="Aptos" w:hAnsi="Aptos" w:eastAsia="Aptos" w:cs="Aptos"/>
                <w:sz w:val="24"/>
                <w:szCs w:val="24"/>
              </w:rPr>
            </w:pPr>
            <w:r w:rsidRPr="3A232ED9">
              <w:rPr>
                <w:rFonts w:ascii="Aptos" w:hAnsi="Aptos" w:eastAsia="Aptos" w:cs="Aptos"/>
                <w:sz w:val="24"/>
                <w:szCs w:val="24"/>
              </w:rPr>
              <w:t xml:space="preserve">21.2           </w:t>
            </w:r>
          </w:p>
        </w:tc>
        <w:tc>
          <w:tcPr>
            <w:tcW w:w="429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0642C157" w14:textId="45947C77">
            <w:pPr>
              <w:spacing w:line="257" w:lineRule="auto"/>
              <w:rPr>
                <w:rFonts w:ascii="Aptos" w:hAnsi="Aptos" w:eastAsia="Aptos" w:cs="Aptos"/>
                <w:sz w:val="24"/>
                <w:szCs w:val="24"/>
              </w:rPr>
            </w:pPr>
            <w:r w:rsidRPr="3A232ED9">
              <w:rPr>
                <w:rFonts w:ascii="Aptos" w:hAnsi="Aptos" w:eastAsia="Aptos" w:cs="Aptos"/>
                <w:sz w:val="24"/>
                <w:szCs w:val="24"/>
              </w:rPr>
              <w:t>Do you feel burnt out because of your work?</w:t>
            </w:r>
          </w:p>
        </w:tc>
        <w:tc>
          <w:tcPr>
            <w:tcW w:w="360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57B09F52" w14:textId="15B43725">
            <w:pPr>
              <w:spacing w:line="257" w:lineRule="auto"/>
              <w:rPr>
                <w:rFonts w:ascii="Aptos" w:hAnsi="Aptos" w:eastAsia="Aptos" w:cs="Aptos"/>
                <w:sz w:val="24"/>
                <w:szCs w:val="24"/>
              </w:rPr>
            </w:pPr>
            <w:r w:rsidRPr="3A232ED9">
              <w:rPr>
                <w:rFonts w:ascii="Aptos" w:hAnsi="Aptos" w:eastAsia="Aptos" w:cs="Aptos"/>
                <w:sz w:val="24"/>
                <w:szCs w:val="24"/>
              </w:rPr>
              <w:t xml:space="preserve">Strongly Agree | Agree | Neither Agree nor Disagree | Disagree | Strongly Disagree </w:t>
            </w:r>
          </w:p>
        </w:tc>
      </w:tr>
      <w:tr w:rsidR="3A232ED9" w:rsidTr="3A232ED9" w14:paraId="77297C77" w14:textId="77777777">
        <w:trPr>
          <w:trHeight w:val="300"/>
        </w:trPr>
        <w:tc>
          <w:tcPr>
            <w:tcW w:w="945"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2C65D69B" w14:textId="6DA96752">
            <w:pPr>
              <w:spacing w:line="257" w:lineRule="auto"/>
              <w:rPr>
                <w:rFonts w:ascii="Aptos" w:hAnsi="Aptos" w:eastAsia="Aptos" w:cs="Aptos"/>
                <w:sz w:val="24"/>
                <w:szCs w:val="24"/>
              </w:rPr>
            </w:pPr>
            <w:r w:rsidRPr="3A232ED9">
              <w:rPr>
                <w:rFonts w:ascii="Aptos" w:hAnsi="Aptos" w:eastAsia="Aptos" w:cs="Aptos"/>
                <w:sz w:val="24"/>
                <w:szCs w:val="24"/>
              </w:rPr>
              <w:t xml:space="preserve">21.3            </w:t>
            </w:r>
          </w:p>
        </w:tc>
        <w:tc>
          <w:tcPr>
            <w:tcW w:w="4290"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0FCB7F6D" w14:textId="633DE634">
            <w:pPr>
              <w:spacing w:line="257" w:lineRule="auto"/>
              <w:rPr>
                <w:rFonts w:ascii="Aptos" w:hAnsi="Aptos" w:eastAsia="Aptos" w:cs="Aptos"/>
                <w:sz w:val="24"/>
                <w:szCs w:val="24"/>
              </w:rPr>
            </w:pPr>
            <w:r w:rsidRPr="3A232ED9">
              <w:rPr>
                <w:rFonts w:ascii="Aptos" w:hAnsi="Aptos" w:eastAsia="Aptos" w:cs="Aptos"/>
                <w:sz w:val="24"/>
                <w:szCs w:val="24"/>
              </w:rPr>
              <w:t>Does your work frustrate you?</w:t>
            </w:r>
          </w:p>
        </w:tc>
        <w:tc>
          <w:tcPr>
            <w:tcW w:w="3600"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045599E1" w14:textId="6193DF6B">
            <w:pPr>
              <w:spacing w:line="257" w:lineRule="auto"/>
              <w:rPr>
                <w:rFonts w:ascii="Aptos" w:hAnsi="Aptos" w:eastAsia="Aptos" w:cs="Aptos"/>
                <w:sz w:val="24"/>
                <w:szCs w:val="24"/>
              </w:rPr>
            </w:pPr>
            <w:r w:rsidRPr="3A232ED9">
              <w:rPr>
                <w:rFonts w:ascii="Aptos" w:hAnsi="Aptos" w:eastAsia="Aptos" w:cs="Aptos"/>
                <w:sz w:val="24"/>
                <w:szCs w:val="24"/>
              </w:rPr>
              <w:t xml:space="preserve">Strongly Agree | Agree | Neither Agree nor Disagree | Disagree | Strongly Disagree </w:t>
            </w:r>
          </w:p>
        </w:tc>
      </w:tr>
      <w:tr w:rsidR="3A232ED9" w:rsidTr="3A232ED9" w14:paraId="50E2168E"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3F4E963C" w14:textId="53F076D8">
            <w:pPr>
              <w:spacing w:line="257" w:lineRule="auto"/>
              <w:rPr>
                <w:rFonts w:ascii="Aptos" w:hAnsi="Aptos" w:eastAsia="Aptos" w:cs="Aptos"/>
                <w:sz w:val="24"/>
                <w:szCs w:val="24"/>
              </w:rPr>
            </w:pPr>
            <w:r w:rsidRPr="3A232ED9">
              <w:rPr>
                <w:rFonts w:ascii="Aptos" w:hAnsi="Aptos" w:eastAsia="Aptos" w:cs="Aptos"/>
                <w:sz w:val="24"/>
                <w:szCs w:val="24"/>
              </w:rPr>
              <w:t xml:space="preserve">21.4           </w:t>
            </w:r>
          </w:p>
        </w:tc>
        <w:tc>
          <w:tcPr>
            <w:tcW w:w="429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43A002E5" w14:textId="6C7DB3FC">
            <w:pPr>
              <w:spacing w:line="257" w:lineRule="auto"/>
              <w:rPr>
                <w:rFonts w:ascii="Aptos" w:hAnsi="Aptos" w:eastAsia="Aptos" w:cs="Aptos"/>
                <w:sz w:val="24"/>
                <w:szCs w:val="24"/>
              </w:rPr>
            </w:pPr>
            <w:r w:rsidRPr="3A232ED9">
              <w:rPr>
                <w:rFonts w:ascii="Aptos" w:hAnsi="Aptos" w:eastAsia="Aptos" w:cs="Aptos"/>
                <w:sz w:val="24"/>
                <w:szCs w:val="24"/>
              </w:rPr>
              <w:t>Do you feel worn out at the end of the working day?</w:t>
            </w:r>
          </w:p>
        </w:tc>
        <w:tc>
          <w:tcPr>
            <w:tcW w:w="360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27F33A11" w14:textId="3340F29C">
            <w:pPr>
              <w:spacing w:line="257" w:lineRule="auto"/>
              <w:rPr>
                <w:rFonts w:ascii="Aptos" w:hAnsi="Aptos" w:eastAsia="Aptos" w:cs="Aptos"/>
                <w:sz w:val="24"/>
                <w:szCs w:val="24"/>
              </w:rPr>
            </w:pPr>
            <w:r w:rsidRPr="3A232ED9">
              <w:rPr>
                <w:rFonts w:ascii="Aptos" w:hAnsi="Aptos" w:eastAsia="Aptos" w:cs="Aptos"/>
                <w:sz w:val="24"/>
                <w:szCs w:val="24"/>
              </w:rPr>
              <w:t>Always | Usually | Sometimes | Rarely | Never</w:t>
            </w:r>
          </w:p>
        </w:tc>
      </w:tr>
      <w:tr w:rsidR="3A232ED9" w:rsidTr="3A232ED9" w14:paraId="74EEA1A6" w14:textId="77777777">
        <w:trPr>
          <w:trHeight w:val="300"/>
        </w:trPr>
        <w:tc>
          <w:tcPr>
            <w:tcW w:w="945"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7C7B78BF" w14:textId="756940CE">
            <w:pPr>
              <w:spacing w:line="257" w:lineRule="auto"/>
              <w:rPr>
                <w:rFonts w:ascii="Aptos" w:hAnsi="Aptos" w:eastAsia="Aptos" w:cs="Aptos"/>
                <w:sz w:val="24"/>
                <w:szCs w:val="24"/>
              </w:rPr>
            </w:pPr>
            <w:r w:rsidRPr="3A232ED9">
              <w:rPr>
                <w:rFonts w:ascii="Aptos" w:hAnsi="Aptos" w:eastAsia="Aptos" w:cs="Aptos"/>
                <w:sz w:val="24"/>
                <w:szCs w:val="24"/>
              </w:rPr>
              <w:t xml:space="preserve">21.5          </w:t>
            </w:r>
          </w:p>
        </w:tc>
        <w:tc>
          <w:tcPr>
            <w:tcW w:w="4290"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42E6A984" w14:textId="33AFA86D">
            <w:pPr>
              <w:spacing w:line="257" w:lineRule="auto"/>
              <w:rPr>
                <w:rFonts w:ascii="Aptos" w:hAnsi="Aptos" w:eastAsia="Aptos" w:cs="Aptos"/>
                <w:sz w:val="24"/>
                <w:szCs w:val="24"/>
              </w:rPr>
            </w:pPr>
            <w:r w:rsidRPr="3A232ED9">
              <w:rPr>
                <w:rFonts w:ascii="Aptos" w:hAnsi="Aptos" w:eastAsia="Aptos" w:cs="Aptos"/>
                <w:sz w:val="24"/>
                <w:szCs w:val="24"/>
              </w:rPr>
              <w:t>Are you exhausted in the morning at the thought of another day at work?</w:t>
            </w:r>
          </w:p>
        </w:tc>
        <w:tc>
          <w:tcPr>
            <w:tcW w:w="3600" w:type="dxa"/>
            <w:tcBorders>
              <w:top w:val="single" w:color="auto" w:sz="6" w:space="0"/>
              <w:left w:val="single" w:color="auto" w:sz="6" w:space="0"/>
              <w:bottom w:val="single" w:color="auto" w:sz="6" w:space="0"/>
              <w:right w:val="single" w:color="auto" w:sz="6" w:space="0"/>
            </w:tcBorders>
            <w:vAlign w:val="center"/>
          </w:tcPr>
          <w:p w:rsidR="3A232ED9" w:rsidP="3A232ED9" w:rsidRDefault="3A232ED9" w14:paraId="134E1C67" w14:textId="76B48065">
            <w:pPr>
              <w:spacing w:line="257" w:lineRule="auto"/>
              <w:rPr>
                <w:rFonts w:ascii="Aptos" w:hAnsi="Aptos" w:eastAsia="Aptos" w:cs="Aptos"/>
                <w:sz w:val="24"/>
                <w:szCs w:val="24"/>
              </w:rPr>
            </w:pPr>
            <w:r w:rsidRPr="3A232ED9">
              <w:rPr>
                <w:rFonts w:ascii="Aptos" w:hAnsi="Aptos" w:eastAsia="Aptos" w:cs="Aptos"/>
                <w:sz w:val="24"/>
                <w:szCs w:val="24"/>
              </w:rPr>
              <w:t>Always | Usually | Sometimes | Rarely | Never</w:t>
            </w:r>
          </w:p>
        </w:tc>
      </w:tr>
      <w:tr w:rsidR="3A232ED9" w:rsidTr="3A232ED9" w14:paraId="61F90B8C" w14:textId="77777777">
        <w:trPr>
          <w:trHeight w:val="300"/>
        </w:trPr>
        <w:tc>
          <w:tcPr>
            <w:tcW w:w="945"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2A1600FA" w14:textId="4CEA686E">
            <w:pPr>
              <w:spacing w:line="257" w:lineRule="auto"/>
              <w:rPr>
                <w:rFonts w:ascii="Aptos" w:hAnsi="Aptos" w:eastAsia="Aptos" w:cs="Aptos"/>
                <w:sz w:val="24"/>
                <w:szCs w:val="24"/>
              </w:rPr>
            </w:pPr>
            <w:r w:rsidRPr="3A232ED9">
              <w:rPr>
                <w:rFonts w:ascii="Aptos" w:hAnsi="Aptos" w:eastAsia="Aptos" w:cs="Aptos"/>
                <w:sz w:val="24"/>
                <w:szCs w:val="24"/>
              </w:rPr>
              <w:t xml:space="preserve">21.6           </w:t>
            </w:r>
          </w:p>
        </w:tc>
        <w:tc>
          <w:tcPr>
            <w:tcW w:w="429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649D67D3" w14:textId="741C7071">
            <w:pPr>
              <w:spacing w:line="257" w:lineRule="auto"/>
              <w:rPr>
                <w:rFonts w:ascii="Aptos" w:hAnsi="Aptos" w:eastAsia="Aptos" w:cs="Aptos"/>
                <w:sz w:val="24"/>
                <w:szCs w:val="24"/>
              </w:rPr>
            </w:pPr>
            <w:r w:rsidRPr="3A232ED9">
              <w:rPr>
                <w:rFonts w:ascii="Aptos" w:hAnsi="Aptos" w:eastAsia="Aptos" w:cs="Aptos"/>
                <w:sz w:val="24"/>
                <w:szCs w:val="24"/>
              </w:rPr>
              <w:t>Do you feel that every working hour is tiring for you?</w:t>
            </w:r>
          </w:p>
        </w:tc>
        <w:tc>
          <w:tcPr>
            <w:tcW w:w="3600" w:type="dxa"/>
            <w:tcBorders>
              <w:top w:val="single" w:color="auto" w:sz="6" w:space="0"/>
              <w:left w:val="single" w:color="auto" w:sz="6" w:space="0"/>
              <w:bottom w:val="single" w:color="auto" w:sz="6" w:space="0"/>
              <w:right w:val="single" w:color="auto" w:sz="6" w:space="0"/>
            </w:tcBorders>
            <w:shd w:val="clear" w:color="auto" w:fill="FBE4D5" w:themeFill="accent2" w:themeFillTint="33"/>
            <w:vAlign w:val="center"/>
          </w:tcPr>
          <w:p w:rsidR="3A232ED9" w:rsidP="3A232ED9" w:rsidRDefault="3A232ED9" w14:paraId="0A1A1F4A" w14:textId="3CEE9FB0">
            <w:pPr>
              <w:spacing w:line="257" w:lineRule="auto"/>
              <w:rPr>
                <w:rFonts w:ascii="Aptos" w:hAnsi="Aptos" w:eastAsia="Aptos" w:cs="Aptos"/>
                <w:sz w:val="24"/>
                <w:szCs w:val="24"/>
              </w:rPr>
            </w:pPr>
            <w:r w:rsidRPr="3A232ED9">
              <w:rPr>
                <w:rFonts w:ascii="Aptos" w:hAnsi="Aptos" w:eastAsia="Aptos" w:cs="Aptos"/>
                <w:sz w:val="24"/>
                <w:szCs w:val="24"/>
              </w:rPr>
              <w:t>Always | Usually | Sometimes | Rarely | Never</w:t>
            </w:r>
          </w:p>
        </w:tc>
      </w:tr>
    </w:tbl>
    <w:p w:rsidR="4C9258E6" w:rsidP="3A232ED9" w:rsidRDefault="7C54500E" w14:paraId="1522096F" w14:textId="68F91CDD">
      <w:pPr>
        <w:spacing w:line="257" w:lineRule="auto"/>
        <w:rPr>
          <w:rFonts w:ascii="Aptos" w:hAnsi="Aptos" w:eastAsia="Aptos" w:cs="Aptos"/>
          <w:color w:val="000000" w:themeColor="text1"/>
          <w:sz w:val="24"/>
          <w:szCs w:val="24"/>
        </w:rPr>
      </w:pPr>
      <w:r w:rsidRPr="3A232ED9">
        <w:rPr>
          <w:rFonts w:ascii="Aptos" w:hAnsi="Aptos" w:eastAsia="Aptos" w:cs="Aptos"/>
          <w:color w:val="000000" w:themeColor="text1"/>
          <w:sz w:val="24"/>
          <w:szCs w:val="24"/>
          <w:lang w:val="en"/>
        </w:rPr>
        <w:t> </w:t>
      </w:r>
      <w:r w:rsidRPr="3A232ED9">
        <w:rPr>
          <w:rFonts w:ascii="Aptos" w:hAnsi="Aptos" w:eastAsia="Aptos" w:cs="Aptos"/>
          <w:color w:val="000000" w:themeColor="text1"/>
          <w:sz w:val="24"/>
          <w:szCs w:val="24"/>
        </w:rPr>
        <w:t> </w:t>
      </w:r>
    </w:p>
    <w:p w:rsidR="4C9258E6" w:rsidP="3A232ED9" w:rsidRDefault="7C54500E" w14:paraId="69FA2DF5" w14:textId="052AC288">
      <w:pPr>
        <w:spacing w:line="257" w:lineRule="auto"/>
        <w:rPr>
          <w:rFonts w:ascii="Aptos" w:hAnsi="Aptos" w:eastAsia="Aptos" w:cs="Aptos"/>
          <w:color w:val="000000" w:themeColor="text1"/>
          <w:sz w:val="24"/>
          <w:szCs w:val="24"/>
        </w:rPr>
      </w:pPr>
      <w:r w:rsidRPr="3A232ED9">
        <w:rPr>
          <w:rFonts w:ascii="Aptos" w:hAnsi="Aptos" w:eastAsia="Aptos" w:cs="Aptos"/>
          <w:b/>
          <w:bCs/>
          <w:color w:val="000000" w:themeColor="text1"/>
          <w:sz w:val="24"/>
          <w:szCs w:val="24"/>
          <w:lang w:val="en"/>
        </w:rPr>
        <w:t>Wellbeing</w:t>
      </w:r>
      <w:r w:rsidRPr="3A232ED9">
        <w:rPr>
          <w:rFonts w:ascii="Aptos" w:hAnsi="Aptos" w:eastAsia="Aptos" w:cs="Aptos"/>
          <w:color w:val="000000" w:themeColor="text1"/>
          <w:sz w:val="24"/>
          <w:szCs w:val="24"/>
        </w:rPr>
        <w:t>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915"/>
        <w:gridCol w:w="4680"/>
        <w:gridCol w:w="3405"/>
      </w:tblGrid>
      <w:tr w:rsidR="3A232ED9" w:rsidTr="2FF77C75" w14:paraId="4AA130F7" w14:textId="77777777">
        <w:trPr>
          <w:trHeight w:val="300"/>
        </w:trPr>
        <w:tc>
          <w:tcPr>
            <w:tcW w:w="900" w:type="dxa"/>
            <w:tcBorders>
              <w:top w:val="single" w:color="auto" w:sz="6" w:space="0"/>
              <w:left w:val="single" w:color="auto" w:sz="6" w:space="0"/>
              <w:bottom w:val="single" w:color="auto" w:sz="6" w:space="0"/>
              <w:right w:val="single" w:color="auto" w:sz="6" w:space="0"/>
            </w:tcBorders>
            <w:shd w:val="clear" w:color="auto" w:fill="F1DF9D"/>
            <w:tcMar/>
          </w:tcPr>
          <w:p w:rsidR="3A232ED9" w:rsidP="3A232ED9" w:rsidRDefault="3A232ED9" w14:paraId="51454D31" w14:textId="0AAA89A2">
            <w:pPr>
              <w:spacing w:line="257" w:lineRule="auto"/>
              <w:rPr>
                <w:rFonts w:ascii="Aptos" w:hAnsi="Aptos" w:eastAsia="Aptos" w:cs="Aptos"/>
                <w:sz w:val="24"/>
                <w:szCs w:val="24"/>
              </w:rPr>
            </w:pPr>
            <w:r w:rsidRPr="3A232ED9">
              <w:rPr>
                <w:rFonts w:ascii="Aptos" w:hAnsi="Aptos" w:eastAsia="Aptos" w:cs="Aptos"/>
                <w:sz w:val="24"/>
                <w:szCs w:val="24"/>
                <w:lang w:val="en"/>
              </w:rPr>
              <w:t>22.1</w:t>
            </w:r>
          </w:p>
        </w:tc>
        <w:tc>
          <w:tcPr>
            <w:tcW w:w="4680" w:type="dxa"/>
            <w:tcBorders>
              <w:top w:val="single" w:color="auto" w:sz="6" w:space="0"/>
              <w:left w:val="single" w:color="auto" w:sz="6" w:space="0"/>
              <w:bottom w:val="single" w:color="auto" w:sz="6" w:space="0"/>
              <w:right w:val="single" w:color="auto" w:sz="6" w:space="0"/>
            </w:tcBorders>
            <w:shd w:val="clear" w:color="auto" w:fill="F1DF9D"/>
            <w:tcMar/>
          </w:tcPr>
          <w:p w:rsidR="3A232ED9" w:rsidP="3A232ED9" w:rsidRDefault="3A232ED9" w14:paraId="2596CF56" w14:textId="6AAA3B0C">
            <w:pPr>
              <w:spacing w:line="257" w:lineRule="auto"/>
              <w:rPr>
                <w:rFonts w:ascii="Aptos" w:hAnsi="Aptos" w:eastAsia="Aptos" w:cs="Aptos"/>
                <w:sz w:val="24"/>
                <w:szCs w:val="24"/>
              </w:rPr>
            </w:pPr>
            <w:r w:rsidRPr="3A232ED9">
              <w:rPr>
                <w:rFonts w:ascii="Aptos" w:hAnsi="Aptos" w:eastAsia="Aptos" w:cs="Aptos"/>
                <w:sz w:val="24"/>
                <w:szCs w:val="24"/>
              </w:rPr>
              <w:t xml:space="preserve">Have you had time off work in the last six months for any </w:t>
            </w:r>
            <w:proofErr w:type="gramStart"/>
            <w:r w:rsidRPr="3A232ED9">
              <w:rPr>
                <w:rFonts w:ascii="Aptos" w:hAnsi="Aptos" w:eastAsia="Aptos" w:cs="Aptos"/>
                <w:sz w:val="24"/>
                <w:szCs w:val="24"/>
              </w:rPr>
              <w:t>work related</w:t>
            </w:r>
            <w:proofErr w:type="gramEnd"/>
            <w:r w:rsidRPr="3A232ED9">
              <w:rPr>
                <w:rFonts w:ascii="Aptos" w:hAnsi="Aptos" w:eastAsia="Aptos" w:cs="Aptos"/>
                <w:sz w:val="24"/>
                <w:szCs w:val="24"/>
              </w:rPr>
              <w:t xml:space="preserve"> physical health issues and/or </w:t>
            </w:r>
            <w:proofErr w:type="gramStart"/>
            <w:r w:rsidRPr="3A232ED9">
              <w:rPr>
                <w:rFonts w:ascii="Aptos" w:hAnsi="Aptos" w:eastAsia="Aptos" w:cs="Aptos"/>
                <w:sz w:val="24"/>
                <w:szCs w:val="24"/>
              </w:rPr>
              <w:t>work related</w:t>
            </w:r>
            <w:proofErr w:type="gramEnd"/>
            <w:r w:rsidRPr="3A232ED9">
              <w:rPr>
                <w:rFonts w:ascii="Aptos" w:hAnsi="Aptos" w:eastAsia="Aptos" w:cs="Aptos"/>
                <w:sz w:val="24"/>
                <w:szCs w:val="24"/>
              </w:rPr>
              <w:t xml:space="preserve"> mental health issues?</w:t>
            </w:r>
          </w:p>
        </w:tc>
        <w:tc>
          <w:tcPr>
            <w:tcW w:w="3405" w:type="dxa"/>
            <w:tcBorders>
              <w:top w:val="single" w:color="auto" w:sz="6" w:space="0"/>
              <w:left w:val="single" w:color="auto" w:sz="6" w:space="0"/>
              <w:bottom w:val="single" w:color="auto" w:sz="6" w:space="0"/>
              <w:right w:val="single" w:color="auto" w:sz="6" w:space="0"/>
            </w:tcBorders>
            <w:shd w:val="clear" w:color="auto" w:fill="F1DF9D"/>
            <w:tcMar/>
          </w:tcPr>
          <w:p w:rsidR="3A232ED9" w:rsidP="3A232ED9" w:rsidRDefault="3A232ED9" w14:paraId="235DFA29" w14:textId="3BD668FA">
            <w:pPr>
              <w:spacing w:line="257" w:lineRule="auto"/>
              <w:rPr>
                <w:rFonts w:ascii="Aptos" w:hAnsi="Aptos" w:eastAsia="Aptos" w:cs="Aptos"/>
                <w:sz w:val="24"/>
                <w:szCs w:val="24"/>
              </w:rPr>
            </w:pPr>
            <w:r w:rsidRPr="3A232ED9">
              <w:rPr>
                <w:rFonts w:ascii="Aptos" w:hAnsi="Aptos" w:eastAsia="Aptos" w:cs="Aptos"/>
                <w:sz w:val="24"/>
                <w:szCs w:val="24"/>
                <w:lang w:val="en"/>
              </w:rPr>
              <w:t>Yes | No | Prefer not to say</w:t>
            </w:r>
            <w:r w:rsidRPr="3A232ED9">
              <w:rPr>
                <w:rFonts w:ascii="Aptos" w:hAnsi="Aptos" w:eastAsia="Aptos" w:cs="Aptos"/>
                <w:sz w:val="24"/>
                <w:szCs w:val="24"/>
              </w:rPr>
              <w:t> </w:t>
            </w:r>
          </w:p>
        </w:tc>
      </w:tr>
      <w:tr w:rsidR="3A232ED9" w:rsidTr="2FF77C75" w14:paraId="17F795B1" w14:textId="77777777">
        <w:trPr>
          <w:trHeight w:val="300"/>
        </w:trPr>
        <w:tc>
          <w:tcPr>
            <w:tcW w:w="900" w:type="dxa"/>
            <w:tcBorders>
              <w:top w:val="single" w:color="auto"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18016188" w14:textId="348EDFA1">
            <w:pPr>
              <w:spacing w:line="257" w:lineRule="auto"/>
              <w:rPr>
                <w:rFonts w:ascii="Aptos" w:hAnsi="Aptos" w:eastAsia="Aptos" w:cs="Aptos"/>
                <w:sz w:val="24"/>
                <w:szCs w:val="24"/>
              </w:rPr>
            </w:pPr>
            <w:r w:rsidRPr="3A232ED9">
              <w:rPr>
                <w:rFonts w:ascii="Aptos" w:hAnsi="Aptos" w:eastAsia="Aptos" w:cs="Aptos"/>
                <w:sz w:val="24"/>
                <w:szCs w:val="24"/>
                <w:lang w:val="en"/>
              </w:rPr>
              <w:t>22.1.1</w:t>
            </w:r>
            <w:r w:rsidRPr="3A232ED9">
              <w:rPr>
                <w:rFonts w:ascii="Aptos" w:hAnsi="Aptos" w:eastAsia="Aptos" w:cs="Aptos"/>
                <w:sz w:val="24"/>
                <w:szCs w:val="24"/>
              </w:rPr>
              <w:t> </w:t>
            </w:r>
          </w:p>
        </w:tc>
        <w:tc>
          <w:tcPr>
            <w:tcW w:w="4680" w:type="dxa"/>
            <w:tcBorders>
              <w:top w:val="single" w:color="auto"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1A0DD62A" w14:textId="5F9B0808">
            <w:pPr>
              <w:spacing w:line="257" w:lineRule="auto"/>
              <w:rPr>
                <w:rFonts w:ascii="Aptos" w:hAnsi="Aptos" w:eastAsia="Aptos" w:cs="Aptos"/>
                <w:sz w:val="24"/>
                <w:szCs w:val="24"/>
              </w:rPr>
            </w:pPr>
            <w:r w:rsidRPr="3A232ED9">
              <w:rPr>
                <w:rFonts w:ascii="Aptos" w:hAnsi="Aptos" w:eastAsia="Aptos" w:cs="Aptos"/>
                <w:sz w:val="24"/>
                <w:szCs w:val="24"/>
              </w:rPr>
              <w:t>Did you feel supported to have this time off?</w:t>
            </w:r>
          </w:p>
        </w:tc>
        <w:tc>
          <w:tcPr>
            <w:tcW w:w="3405" w:type="dxa"/>
            <w:tcBorders>
              <w:top w:val="single" w:color="auto"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2E4361A5" w14:textId="53E406F8">
            <w:pPr>
              <w:spacing w:line="257" w:lineRule="auto"/>
              <w:rPr>
                <w:rFonts w:ascii="Aptos" w:hAnsi="Aptos" w:eastAsia="Aptos" w:cs="Aptos"/>
                <w:sz w:val="24"/>
                <w:szCs w:val="24"/>
              </w:rPr>
            </w:pPr>
            <w:r w:rsidRPr="3A232ED9">
              <w:rPr>
                <w:rFonts w:ascii="Aptos" w:hAnsi="Aptos" w:eastAsia="Aptos" w:cs="Aptos"/>
                <w:sz w:val="24"/>
                <w:szCs w:val="24"/>
              </w:rPr>
              <w:t>Yes | No | Prefer not to say</w:t>
            </w:r>
          </w:p>
        </w:tc>
      </w:tr>
      <w:tr w:rsidR="3A232ED9" w:rsidTr="2FF77C75" w14:paraId="33E990DE"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DF9D"/>
            <w:tcMar/>
          </w:tcPr>
          <w:p w:rsidR="3A232ED9" w:rsidP="3A232ED9" w:rsidRDefault="3A232ED9" w14:paraId="5A722928" w14:textId="79CE4DFC">
            <w:pPr>
              <w:spacing w:line="257" w:lineRule="auto"/>
              <w:rPr>
                <w:rFonts w:ascii="Aptos" w:hAnsi="Aptos" w:eastAsia="Aptos" w:cs="Aptos"/>
                <w:sz w:val="24"/>
                <w:szCs w:val="24"/>
              </w:rPr>
            </w:pPr>
            <w:r w:rsidRPr="3A232ED9">
              <w:rPr>
                <w:rFonts w:ascii="Aptos" w:hAnsi="Aptos" w:eastAsia="Aptos" w:cs="Aptos"/>
                <w:sz w:val="24"/>
                <w:szCs w:val="24"/>
                <w:lang w:val="en"/>
              </w:rPr>
              <w:lastRenderedPageBreak/>
              <w:t>22.1.2</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DF9D"/>
            <w:tcMar/>
          </w:tcPr>
          <w:p w:rsidR="3A232ED9" w:rsidP="3A232ED9" w:rsidRDefault="3A232ED9" w14:paraId="227BE305" w14:textId="562CE6BB">
            <w:pPr>
              <w:tabs>
                <w:tab w:val="left" w:pos="1465"/>
              </w:tabs>
              <w:spacing w:line="257" w:lineRule="auto"/>
              <w:rPr>
                <w:rFonts w:ascii="Aptos" w:hAnsi="Aptos" w:eastAsia="Aptos" w:cs="Aptos"/>
                <w:sz w:val="24"/>
                <w:szCs w:val="24"/>
              </w:rPr>
            </w:pPr>
            <w:r w:rsidRPr="3A232ED9">
              <w:rPr>
                <w:rFonts w:ascii="Aptos" w:hAnsi="Aptos" w:eastAsia="Aptos" w:cs="Aptos"/>
                <w:sz w:val="24"/>
                <w:szCs w:val="24"/>
              </w:rPr>
              <w:t>Have you been referred to occupational health?</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DF9D"/>
            <w:tcMar/>
          </w:tcPr>
          <w:p w:rsidR="3A232ED9" w:rsidP="3A232ED9" w:rsidRDefault="3A232ED9" w14:paraId="00873F8A" w14:textId="651EC66A">
            <w:pPr>
              <w:spacing w:line="257" w:lineRule="auto"/>
              <w:jc w:val="center"/>
              <w:rPr>
                <w:rFonts w:ascii="Aptos" w:hAnsi="Aptos" w:eastAsia="Aptos" w:cs="Aptos"/>
                <w:sz w:val="24"/>
                <w:szCs w:val="24"/>
              </w:rPr>
            </w:pPr>
            <w:r w:rsidRPr="3A232ED9">
              <w:rPr>
                <w:rFonts w:ascii="Aptos" w:hAnsi="Aptos" w:eastAsia="Aptos" w:cs="Aptos"/>
                <w:sz w:val="24"/>
                <w:szCs w:val="24"/>
                <w:lang w:val="en"/>
              </w:rPr>
              <w:t>Y</w:t>
            </w:r>
            <w:r w:rsidRPr="3A232ED9">
              <w:rPr>
                <w:rFonts w:ascii="Aptos" w:hAnsi="Aptos" w:eastAsia="Aptos" w:cs="Aptos"/>
                <w:sz w:val="24"/>
                <w:szCs w:val="24"/>
              </w:rPr>
              <w:t>es | No | Prefer not to say</w:t>
            </w:r>
          </w:p>
        </w:tc>
      </w:tr>
      <w:tr w:rsidR="3A232ED9" w:rsidTr="2FF77C75" w14:paraId="419325CB"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056EB87B" w14:textId="5043FCBE">
            <w:pPr>
              <w:spacing w:line="257" w:lineRule="auto"/>
              <w:rPr>
                <w:rFonts w:ascii="Aptos" w:hAnsi="Aptos" w:eastAsia="Aptos" w:cs="Aptos"/>
                <w:sz w:val="24"/>
                <w:szCs w:val="24"/>
              </w:rPr>
            </w:pPr>
            <w:r w:rsidRPr="3A232ED9">
              <w:rPr>
                <w:rFonts w:ascii="Aptos" w:hAnsi="Aptos" w:eastAsia="Aptos" w:cs="Aptos"/>
                <w:sz w:val="24"/>
                <w:szCs w:val="24"/>
                <w:lang w:val="en"/>
              </w:rPr>
              <w:t>22.1.3</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51777856" w14:textId="683597A9">
            <w:pPr>
              <w:spacing w:line="257" w:lineRule="auto"/>
              <w:rPr>
                <w:rFonts w:ascii="Aptos" w:hAnsi="Aptos" w:eastAsia="Aptos" w:cs="Aptos"/>
                <w:sz w:val="24"/>
                <w:szCs w:val="24"/>
              </w:rPr>
            </w:pPr>
            <w:r w:rsidRPr="3A232ED9">
              <w:rPr>
                <w:rFonts w:ascii="Aptos" w:hAnsi="Aptos" w:eastAsia="Aptos" w:cs="Aptos"/>
                <w:sz w:val="24"/>
                <w:szCs w:val="24"/>
              </w:rPr>
              <w:t xml:space="preserve">How many days off have you had for work related physical health issues and/or </w:t>
            </w:r>
            <w:proofErr w:type="gramStart"/>
            <w:r w:rsidRPr="3A232ED9">
              <w:rPr>
                <w:rFonts w:ascii="Aptos" w:hAnsi="Aptos" w:eastAsia="Aptos" w:cs="Aptos"/>
                <w:sz w:val="24"/>
                <w:szCs w:val="24"/>
              </w:rPr>
              <w:t>work related</w:t>
            </w:r>
            <w:proofErr w:type="gramEnd"/>
            <w:r w:rsidRPr="3A232ED9">
              <w:rPr>
                <w:rFonts w:ascii="Aptos" w:hAnsi="Aptos" w:eastAsia="Aptos" w:cs="Aptos"/>
                <w:sz w:val="24"/>
                <w:szCs w:val="24"/>
              </w:rPr>
              <w:t xml:space="preserve"> mental health issues in the last six months?</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6ECF81D6" w14:textId="65DE9FF7">
            <w:pPr>
              <w:spacing w:line="257" w:lineRule="auto"/>
              <w:rPr>
                <w:rFonts w:ascii="Aptos" w:hAnsi="Aptos" w:eastAsia="Aptos" w:cs="Aptos"/>
                <w:sz w:val="24"/>
                <w:szCs w:val="24"/>
              </w:rPr>
            </w:pPr>
            <w:r w:rsidRPr="3A232ED9">
              <w:rPr>
                <w:rFonts w:ascii="Aptos" w:hAnsi="Aptos" w:eastAsia="Aptos" w:cs="Aptos"/>
                <w:sz w:val="24"/>
                <w:szCs w:val="24"/>
              </w:rPr>
              <w:t>0-1 | 2-3 |4-7 | 7-10 | &gt;10</w:t>
            </w:r>
          </w:p>
        </w:tc>
      </w:tr>
      <w:tr w:rsidR="3A232ED9" w:rsidTr="2FF77C75" w14:paraId="1338EFC3"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DF9D"/>
            <w:tcMar/>
          </w:tcPr>
          <w:p w:rsidR="3A232ED9" w:rsidP="3A232ED9" w:rsidRDefault="3A232ED9" w14:paraId="35FD64FF" w14:textId="1D4C3387">
            <w:pPr>
              <w:spacing w:line="257" w:lineRule="auto"/>
              <w:rPr>
                <w:rFonts w:ascii="Aptos" w:hAnsi="Aptos" w:eastAsia="Aptos" w:cs="Aptos"/>
                <w:sz w:val="24"/>
                <w:szCs w:val="24"/>
              </w:rPr>
            </w:pPr>
            <w:r w:rsidRPr="3A232ED9">
              <w:rPr>
                <w:rFonts w:ascii="Aptos" w:hAnsi="Aptos" w:eastAsia="Aptos" w:cs="Aptos"/>
                <w:sz w:val="24"/>
                <w:szCs w:val="24"/>
                <w:lang w:val="en"/>
              </w:rPr>
              <w:t>22.1.4</w:t>
            </w:r>
            <w:r w:rsidRPr="3A232ED9">
              <w:rPr>
                <w:rFonts w:ascii="Aptos" w:hAnsi="Aptos" w:eastAsia="Aptos" w:cs="Aptos"/>
                <w:sz w:val="24"/>
                <w:szCs w:val="24"/>
              </w:rPr>
              <w:t> </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DF9D"/>
            <w:tcMar/>
          </w:tcPr>
          <w:p w:rsidR="3A232ED9" w:rsidP="3A232ED9" w:rsidRDefault="3A232ED9" w14:paraId="7AF98B96" w14:textId="44989C3C">
            <w:pPr>
              <w:spacing w:line="257" w:lineRule="auto"/>
              <w:rPr>
                <w:rFonts w:ascii="Aptos" w:hAnsi="Aptos" w:eastAsia="Aptos" w:cs="Aptos"/>
                <w:sz w:val="24"/>
                <w:szCs w:val="24"/>
              </w:rPr>
            </w:pPr>
            <w:r w:rsidRPr="3A232ED9">
              <w:rPr>
                <w:rFonts w:ascii="Aptos" w:hAnsi="Aptos" w:eastAsia="Aptos" w:cs="Aptos"/>
                <w:sz w:val="24"/>
                <w:szCs w:val="24"/>
                <w:lang w:val="en"/>
              </w:rPr>
              <w:t>Do you think your working pattern may have contributed to the days of sickness/health concerns?</w:t>
            </w:r>
            <w:r w:rsidRPr="3A232ED9">
              <w:rPr>
                <w:rFonts w:ascii="Aptos" w:hAnsi="Aptos" w:eastAsia="Aptos" w:cs="Aptos"/>
                <w:sz w:val="24"/>
                <w:szCs w:val="24"/>
              </w:rPr>
              <w:t> </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1DF9D"/>
            <w:tcMar/>
          </w:tcPr>
          <w:p w:rsidR="3A232ED9" w:rsidP="3A232ED9" w:rsidRDefault="3A232ED9" w14:paraId="65B85870" w14:textId="0DA44CE7">
            <w:pPr>
              <w:spacing w:line="257" w:lineRule="auto"/>
              <w:rPr>
                <w:rFonts w:ascii="Aptos" w:hAnsi="Aptos" w:eastAsia="Aptos" w:cs="Aptos"/>
                <w:sz w:val="24"/>
                <w:szCs w:val="24"/>
              </w:rPr>
            </w:pPr>
            <w:r w:rsidRPr="3A232ED9">
              <w:rPr>
                <w:rFonts w:ascii="Aptos" w:hAnsi="Aptos" w:eastAsia="Aptos" w:cs="Aptos"/>
                <w:sz w:val="24"/>
                <w:szCs w:val="24"/>
                <w:lang w:val="en"/>
              </w:rPr>
              <w:t>Yes | Yes in part | Not at all | Prefer not to say | N/A</w:t>
            </w:r>
            <w:r w:rsidRPr="3A232ED9">
              <w:rPr>
                <w:rFonts w:ascii="Aptos" w:hAnsi="Aptos" w:eastAsia="Aptos" w:cs="Aptos"/>
                <w:sz w:val="24"/>
                <w:szCs w:val="24"/>
              </w:rPr>
              <w:t> </w:t>
            </w:r>
          </w:p>
        </w:tc>
      </w:tr>
      <w:tr w:rsidR="3A232ED9" w:rsidTr="2FF77C75" w14:paraId="38A239D4" w14:textId="77777777">
        <w:trPr>
          <w:trHeight w:val="300"/>
        </w:trPr>
        <w:tc>
          <w:tcPr>
            <w:tcW w:w="9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08B34525" w14:textId="69D34FD2">
            <w:pPr>
              <w:spacing w:line="257" w:lineRule="auto"/>
              <w:rPr>
                <w:rFonts w:ascii="Aptos" w:hAnsi="Aptos" w:eastAsia="Aptos" w:cs="Aptos"/>
                <w:sz w:val="24"/>
                <w:szCs w:val="24"/>
              </w:rPr>
            </w:pPr>
            <w:r w:rsidRPr="3A232ED9">
              <w:rPr>
                <w:rFonts w:ascii="Aptos" w:hAnsi="Aptos" w:eastAsia="Aptos" w:cs="Aptos"/>
                <w:sz w:val="24"/>
                <w:szCs w:val="24"/>
                <w:lang w:val="en"/>
              </w:rPr>
              <w:t>22.1.5</w:t>
            </w:r>
          </w:p>
        </w:tc>
        <w:tc>
          <w:tcPr>
            <w:tcW w:w="468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497B2575" w14:textId="21CCAAAB">
            <w:pPr>
              <w:spacing w:line="257" w:lineRule="auto"/>
              <w:rPr>
                <w:rFonts w:ascii="Aptos" w:hAnsi="Aptos" w:eastAsia="Aptos" w:cs="Aptos"/>
                <w:sz w:val="24"/>
                <w:szCs w:val="24"/>
              </w:rPr>
            </w:pPr>
            <w:r w:rsidRPr="3A232ED9">
              <w:rPr>
                <w:rFonts w:ascii="Aptos" w:hAnsi="Aptos" w:eastAsia="Aptos" w:cs="Aptos"/>
                <w:sz w:val="24"/>
                <w:szCs w:val="24"/>
                <w:lang w:val="en-US"/>
              </w:rPr>
              <w:t>What other factors contributed to the days of sickness/health concerns?  (select all that apply)</w:t>
            </w:r>
            <w:r w:rsidRPr="3A232ED9">
              <w:rPr>
                <w:rFonts w:ascii="Aptos" w:hAnsi="Aptos" w:eastAsia="Aptos" w:cs="Aptos"/>
                <w:sz w:val="24"/>
                <w:szCs w:val="24"/>
              </w:rPr>
              <w:t> </w:t>
            </w:r>
          </w:p>
        </w:tc>
        <w:tc>
          <w:tcPr>
            <w:tcW w:w="340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3A232ED9" w:rsidP="3A232ED9" w:rsidRDefault="3A232ED9" w14:paraId="75DEEEE0" w14:textId="62D32BB1">
            <w:pPr>
              <w:spacing w:line="257" w:lineRule="auto"/>
              <w:rPr>
                <w:rFonts w:ascii="Aptos" w:hAnsi="Aptos" w:eastAsia="Aptos" w:cs="Aptos"/>
                <w:sz w:val="24"/>
                <w:szCs w:val="24"/>
              </w:rPr>
            </w:pPr>
            <w:r w:rsidRPr="3A232ED9">
              <w:rPr>
                <w:rFonts w:ascii="Aptos" w:hAnsi="Aptos" w:eastAsia="Aptos" w:cs="Aptos"/>
                <w:sz w:val="24"/>
                <w:szCs w:val="24"/>
                <w:lang w:val="en"/>
              </w:rPr>
              <w:t>Workplace environment | Colleagues | Team dynamics |Personal circumstances | N/A | Other (specify) | Prefer not to say</w:t>
            </w:r>
            <w:r w:rsidRPr="3A232ED9">
              <w:rPr>
                <w:rFonts w:ascii="Aptos" w:hAnsi="Aptos" w:eastAsia="Aptos" w:cs="Aptos"/>
                <w:sz w:val="24"/>
                <w:szCs w:val="24"/>
              </w:rPr>
              <w:t> </w:t>
            </w:r>
          </w:p>
        </w:tc>
      </w:tr>
    </w:tbl>
    <w:p w:rsidR="001A28E5" w:rsidP="00B9725B" w:rsidRDefault="001A28E5" w14:paraId="69D8A4E6" w14:textId="77777777">
      <w:pPr>
        <w:rPr>
          <w:rFonts w:cstheme="minorHAnsi"/>
          <w:sz w:val="56"/>
          <w:szCs w:val="56"/>
          <w:lang w:eastAsia="en-GB"/>
        </w:rPr>
      </w:pPr>
    </w:p>
    <w:p w:rsidR="001A28E5" w:rsidP="00B9725B" w:rsidRDefault="001A28E5" w14:paraId="373AF162" w14:textId="77777777">
      <w:pPr>
        <w:rPr>
          <w:rFonts w:cstheme="minorHAnsi"/>
          <w:sz w:val="56"/>
          <w:szCs w:val="56"/>
          <w:lang w:eastAsia="en-GB"/>
        </w:rPr>
      </w:pPr>
    </w:p>
    <w:p w:rsidR="001A28E5" w:rsidP="00B9725B" w:rsidRDefault="001A28E5" w14:paraId="6B4B10AB" w14:textId="77777777">
      <w:pPr>
        <w:rPr>
          <w:rFonts w:cstheme="minorHAnsi"/>
          <w:sz w:val="56"/>
          <w:szCs w:val="56"/>
          <w:lang w:eastAsia="en-GB"/>
        </w:rPr>
      </w:pPr>
      <w:r w:rsidRPr="001A28E5">
        <w:rPr>
          <w:rFonts w:cstheme="minorHAnsi"/>
          <w:noProof/>
          <w:sz w:val="56"/>
          <w:szCs w:val="56"/>
          <w:lang w:eastAsia="en-GB"/>
        </w:rPr>
        <mc:AlternateContent>
          <mc:Choice Requires="wps">
            <w:drawing>
              <wp:anchor distT="0" distB="0" distL="114300" distR="114300" simplePos="0" relativeHeight="251667456" behindDoc="1" locked="0" layoutInCell="1" allowOverlap="1" wp14:anchorId="69C8101F" wp14:editId="3B1F57A5">
                <wp:simplePos x="0" y="0"/>
                <wp:positionH relativeFrom="page">
                  <wp:posOffset>-180975</wp:posOffset>
                </wp:positionH>
                <wp:positionV relativeFrom="paragraph">
                  <wp:posOffset>-954405</wp:posOffset>
                </wp:positionV>
                <wp:extent cx="7905750" cy="13330555"/>
                <wp:effectExtent l="0" t="0" r="19050" b="23495"/>
                <wp:wrapNone/>
                <wp:docPr id="6" name="Rectangle 6"/>
                <wp:cNvGraphicFramePr/>
                <a:graphic xmlns:a="http://schemas.openxmlformats.org/drawingml/2006/main">
                  <a:graphicData uri="http://schemas.microsoft.com/office/word/2010/wordprocessingShape">
                    <wps:wsp>
                      <wps:cNvSpPr/>
                      <wps:spPr>
                        <a:xfrm>
                          <a:off x="0" y="0"/>
                          <a:ext cx="7905750" cy="13330555"/>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6" style="position:absolute;margin-left:-14.25pt;margin-top:-75.15pt;width:622.5pt;height:1049.6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112d67" strokecolor="#1f4d78 [1604]" strokeweight="1pt" w14:anchorId="6413C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">
                <w10:wrap anchorx="page"/>
              </v:rect>
            </w:pict>
          </mc:Fallback>
        </mc:AlternateContent>
      </w:r>
    </w:p>
    <w:p w:rsidRPr="00B9725B" w:rsidR="001A28E5" w:rsidP="2FF77C75" w:rsidRDefault="00A47DA7" w14:paraId="39CB68AE" w14:textId="77777777">
      <w:pPr>
        <w:rPr>
          <w:rFonts w:cs="Calibri" w:cstheme="minorAscii"/>
          <w:sz w:val="56"/>
          <w:szCs w:val="56"/>
          <w:lang w:eastAsia="en-GB"/>
        </w:rPr>
      </w:pPr>
      <w:r>
        <w:rPr>
          <w:noProof/>
          <w:lang w:eastAsia="en-GB"/>
        </w:rPr>
        <w:drawing>
          <wp:anchor distT="0" distB="0" distL="114300" distR="114300" simplePos="0" relativeHeight="251670528" behindDoc="0" locked="0" layoutInCell="1" allowOverlap="1" wp14:anchorId="5E7936EB" wp14:editId="6B3CD007">
            <wp:simplePos x="0" y="0"/>
            <wp:positionH relativeFrom="column">
              <wp:posOffset>513715</wp:posOffset>
            </wp:positionH>
            <wp:positionV relativeFrom="paragraph">
              <wp:posOffset>2403475</wp:posOffset>
            </wp:positionV>
            <wp:extent cx="5324475" cy="17748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46">
                      <a:extLst>
                        <a:ext uri="{28A0092B-C50C-407E-A947-70E740481C1C}">
                          <a14:useLocalDpi xmlns:a14="http://schemas.microsoft.com/office/drawing/2010/main" val="0"/>
                        </a:ext>
                      </a:extLst>
                    </a:blip>
                    <a:stretch>
                      <a:fillRect/>
                    </a:stretch>
                  </pic:blipFill>
                  <pic:spPr>
                    <a:xfrm>
                      <a:off x="0" y="0"/>
                      <a:ext cx="5324475" cy="1774825"/>
                    </a:xfrm>
                    <a:prstGeom prst="rect">
                      <a:avLst/>
                    </a:prstGeom>
                  </pic:spPr>
                </pic:pic>
              </a:graphicData>
            </a:graphic>
            <wp14:sizeRelH relativeFrom="margin">
              <wp14:pctWidth>0</wp14:pctWidth>
            </wp14:sizeRelH>
            <wp14:sizeRelV relativeFrom="margin">
              <wp14:pctHeight>0</wp14:pctHeight>
            </wp14:sizeRelV>
          </wp:anchor>
        </w:drawing>
      </w:r>
      <w:r w:rsidRPr="001A28E5">
        <w:rPr>
          <w:rFonts w:cstheme="minorHAnsi"/>
          <w:noProof/>
          <w:sz w:val="56"/>
          <w:szCs w:val="56"/>
          <w:lang w:eastAsia="en-GB"/>
        </w:rPr>
        <mc:AlternateContent>
          <mc:Choice Requires="wps">
            <w:drawing>
              <wp:anchor distT="0" distB="0" distL="114300" distR="114300" simplePos="0" relativeHeight="251668480" behindDoc="0" locked="0" layoutInCell="1" allowOverlap="1" wp14:anchorId="009101D4" wp14:editId="55FFCE39">
                <wp:simplePos x="0" y="0"/>
                <wp:positionH relativeFrom="margin">
                  <wp:posOffset>581025</wp:posOffset>
                </wp:positionH>
                <wp:positionV relativeFrom="margin">
                  <wp:posOffset>3333750</wp:posOffset>
                </wp:positionV>
                <wp:extent cx="4815840" cy="107632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4815840" cy="1076325"/>
                        </a:xfrm>
                        <a:prstGeom prst="rect">
                          <a:avLst/>
                        </a:prstGeom>
                        <a:noFill/>
                        <a:ln w="6350">
                          <a:noFill/>
                        </a:ln>
                      </wps:spPr>
                      <wps:txb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09101D4">
                <v:stroke joinstyle="miter"/>
                <v:path gradientshapeok="t" o:connecttype="rect"/>
              </v:shapetype>
              <v:shape id="Text Box 8" style="position:absolute;margin-left:45.75pt;margin-top:262.5pt;width:379.2pt;height:84.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">
                <v:textbox>
                  <w:txbxContent>
                    <w:p w:rsidR="001A28E5" w:rsidP="001A28E5" w:rsidRDefault="001A28E5" w14:paraId="04B2E807" w14:textId="77777777">
                      <w:pPr>
                        <w:jc w:val="center"/>
                        <w:rPr>
                          <w:b/>
                          <w:color w:val="FFFFFF" w:themeColor="background1"/>
                          <w:sz w:val="56"/>
                          <w:szCs w:val="56"/>
                        </w:rPr>
                      </w:pPr>
                      <w:r w:rsidRPr="00D4619E">
                        <w:rPr>
                          <w:color w:val="FFFFFF" w:themeColor="background1"/>
                          <w:sz w:val="56"/>
                          <w:szCs w:val="56"/>
                        </w:rPr>
                        <w:t xml:space="preserve">Find out more </w:t>
                      </w:r>
                      <w:r w:rsidR="00A47DA7">
                        <w:rPr>
                          <w:color w:val="FFFFFF" w:themeColor="background1"/>
                          <w:sz w:val="56"/>
                          <w:szCs w:val="56"/>
                        </w:rPr>
                        <w:t>at</w:t>
                      </w:r>
                    </w:p>
                    <w:p w:rsidR="001A28E5" w:rsidP="001A28E5" w:rsidRDefault="001A28E5" w14:paraId="5E7C14E8" w14:textId="77777777">
                      <w:pPr>
                        <w:jc w:val="center"/>
                        <w:rPr>
                          <w:b/>
                          <w:color w:val="FFFFFF" w:themeColor="background1"/>
                          <w:sz w:val="56"/>
                          <w:szCs w:val="56"/>
                        </w:rPr>
                      </w:pPr>
                    </w:p>
                    <w:p w:rsidRPr="00D4619E" w:rsidR="001A28E5" w:rsidP="001A28E5" w:rsidRDefault="001A28E5" w14:paraId="593AE33E" w14:textId="77777777">
                      <w:pPr>
                        <w:jc w:val="center"/>
                        <w:rPr>
                          <w:color w:val="FFFFFF" w:themeColor="background1"/>
                          <w:sz w:val="56"/>
                          <w:szCs w:val="56"/>
                        </w:rPr>
                      </w:pPr>
                    </w:p>
                  </w:txbxContent>
                </v:textbox>
                <w10:wrap type="square" anchorx="margin" anchory="margin"/>
              </v:shape>
            </w:pict>
          </mc:Fallback>
        </mc:AlternateContent>
      </w:r>
    </w:p>
    <w:sectPr w:rsidRPr="00B9725B" w:rsidR="001A28E5" w:rsidSect="001A28E5">
      <w:headerReference w:type="default" r:id="rId47"/>
      <w:footerReference w:type="default" r:id="rId48"/>
      <w:pgSz w:w="11906" w:h="16838" w:orient="portrait"/>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745" w:rsidP="00F74EA5" w:rsidRDefault="00465745" w14:paraId="60D0A720" w14:textId="77777777">
      <w:pPr>
        <w:spacing w:after="0" w:line="240" w:lineRule="auto"/>
      </w:pPr>
      <w:r>
        <w:separator/>
      </w:r>
    </w:p>
  </w:endnote>
  <w:endnote w:type="continuationSeparator" w:id="0">
    <w:p w:rsidR="00465745" w:rsidP="00F74EA5" w:rsidRDefault="00465745" w14:paraId="3896863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sdt>
    <w:sdtPr>
      <w:id w:val="248240403"/>
      <w:docPartObj>
        <w:docPartGallery w:val="Page Numbers (Bottom of Page)"/>
        <w:docPartUnique/>
      </w:docPartObj>
    </w:sdtPr>
    <w:sdtEndPr>
      <w:rPr>
        <w:b/>
        <w:bCs/>
        <w:noProof/>
        <w:color w:val="FFFFFF" w:themeColor="background1"/>
      </w:rPr>
    </w:sdtEndPr>
    <w:sdtContent>
      <w:p w:rsidRPr="00E130F8" w:rsidR="00E130F8" w:rsidP="00E130F8" w:rsidRDefault="00E130F8" w14:paraId="492E018B" w14:textId="77777777">
        <w:pPr>
          <w:pStyle w:val="Footer"/>
          <w:spacing w:before="100" w:beforeAutospacing="1"/>
          <w:jc w:val="right"/>
          <w:rPr>
            <w:b/>
            <w:color w:val="FFFFFF" w:themeColor="background1"/>
          </w:rPr>
        </w:pPr>
        <w:r w:rsidRPr="00E130F8">
          <w:rPr>
            <w:b/>
            <w:noProof/>
            <w:color w:val="FFFFFF" w:themeColor="background1"/>
            <w:lang w:eastAsia="en-GB"/>
          </w:rPr>
          <mc:AlternateContent>
            <mc:Choice Requires="wps">
              <w:drawing>
                <wp:anchor distT="0" distB="0" distL="114300" distR="114300" simplePos="0" relativeHeight="251662336" behindDoc="1" locked="0" layoutInCell="1" allowOverlap="1" wp14:anchorId="3EE15913" wp14:editId="662301D2">
                  <wp:simplePos x="0" y="0"/>
                  <wp:positionH relativeFrom="page">
                    <wp:posOffset>-95250</wp:posOffset>
                  </wp:positionH>
                  <wp:positionV relativeFrom="paragraph">
                    <wp:posOffset>-146685</wp:posOffset>
                  </wp:positionV>
                  <wp:extent cx="8039100" cy="10477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8039100" cy="1047750"/>
                          </a:xfrm>
                          <a:prstGeom prst="rect">
                            <a:avLst/>
                          </a:prstGeom>
                          <a:solidFill>
                            <a:srgbClr val="112D67"/>
                          </a:solidFill>
                        </wps:spPr>
                        <wps:style>
                          <a:lnRef idx="2">
                            <a:schemeClr val="accent1">
                              <a:shade val="50000"/>
                            </a:schemeClr>
                          </a:lnRef>
                          <a:fillRef idx="1">
                            <a:schemeClr val="accent1"/>
                          </a:fillRef>
                          <a:effectRef idx="0">
                            <a:schemeClr val="accent1"/>
                          </a:effectRef>
                          <a:fontRef idx="minor">
                            <a:schemeClr val="lt1"/>
                          </a:fontRef>
                        </wps:style>
                        <wps:txb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left:0;text-align:left;margin-left:-7.5pt;margin-top:-11.55pt;width:633pt;height:8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7" fillcolor="#112d67" strokecolor="#1f4d78 [1604]" strokeweight="1pt" w14:anchorId="3EE15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">
                  <v:textbox>
                    <w:txbxContent>
                      <w:p w:rsidRPr="00B74C09" w:rsidR="00E130F8" w:rsidP="00E130F8" w:rsidRDefault="00E130F8" w14:paraId="061598E4" w14:textId="77777777">
                        <w:pPr>
                          <w:tabs>
                            <w:tab w:val="center" w:pos="4513"/>
                            <w:tab w:val="right" w:pos="9026"/>
                          </w:tabs>
                          <w:rPr>
                            <w:b/>
                            <w:color w:val="FFFFFF" w:themeColor="background1"/>
                          </w:rPr>
                        </w:pPr>
                      </w:p>
                      <w:p w:rsidRPr="00A47643" w:rsidR="00E130F8" w:rsidP="00E130F8" w:rsidRDefault="00E130F8" w14:paraId="059720F3" w14:textId="77777777">
                        <w:pPr>
                          <w:pStyle w:val="Footer"/>
                          <w:rPr>
                            <w:rStyle w:val="PageNumber"/>
                            <w:b/>
                            <w:color w:val="FFFFFF" w:themeColor="background1"/>
                          </w:rPr>
                        </w:pPr>
                      </w:p>
                      <w:p w:rsidR="00E130F8" w:rsidP="00E130F8" w:rsidRDefault="00E130F8" w14:paraId="11D7ADA6" w14:textId="77777777">
                        <w:pPr>
                          <w:jc w:val="center"/>
                        </w:pPr>
                      </w:p>
                    </w:txbxContent>
                  </v:textbox>
                  <w10:wrap anchorx="page"/>
                </v:rect>
              </w:pict>
            </mc:Fallback>
          </mc:AlternateContent>
        </w:r>
        <w:r w:rsidRPr="00E130F8">
          <w:rPr>
            <w:b/>
            <w:color w:val="FFFFFF" w:themeColor="background1"/>
          </w:rPr>
          <w:fldChar w:fldCharType="begin"/>
        </w:r>
        <w:r w:rsidRPr="00E130F8">
          <w:rPr>
            <w:b/>
            <w:color w:val="FFFFFF" w:themeColor="background1"/>
          </w:rPr>
          <w:instrText xml:space="preserve"> PAGE   \* MERGEFORMAT </w:instrText>
        </w:r>
        <w:r w:rsidRPr="00E130F8">
          <w:rPr>
            <w:b/>
            <w:color w:val="FFFFFF" w:themeColor="background1"/>
          </w:rPr>
          <w:fldChar w:fldCharType="separate"/>
        </w:r>
        <w:r w:rsidR="00A47DA7">
          <w:rPr>
            <w:b/>
            <w:noProof/>
            <w:color w:val="FFFFFF" w:themeColor="background1"/>
          </w:rPr>
          <w:t>3</w:t>
        </w:r>
        <w:r w:rsidRPr="00E130F8">
          <w:rPr>
            <w:b/>
            <w:noProof/>
            <w:color w:val="FFFFFF" w:themeColor="background1"/>
          </w:rPr>
          <w:fldChar w:fldCharType="end"/>
        </w:r>
      </w:p>
    </w:sdtContent>
  </w:sdt>
  <w:p w:rsidR="00B9725B" w:rsidP="00E130F8" w:rsidRDefault="00B9725B" w14:paraId="1A2D629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745" w:rsidP="00F74EA5" w:rsidRDefault="00465745" w14:paraId="3BAD72A8" w14:textId="77777777">
      <w:pPr>
        <w:spacing w:after="0" w:line="240" w:lineRule="auto"/>
      </w:pPr>
      <w:r>
        <w:separator/>
      </w:r>
    </w:p>
  </w:footnote>
  <w:footnote w:type="continuationSeparator" w:id="0">
    <w:p w:rsidR="00465745" w:rsidP="00F74EA5" w:rsidRDefault="00465745" w14:paraId="124C576C"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74EA5" w:rsidP="001A28E5" w:rsidRDefault="00F74EA5" w14:paraId="24422E93" w14:textId="77777777">
    <w:pPr>
      <w:pStyle w:val="Header"/>
      <w:shd w:val="clear" w:color="auto" w:fill="007CBA"/>
    </w:pPr>
    <w:r w:rsidRPr="00F74EA5">
      <w:rPr>
        <w:noProof/>
        <w:lang w:eastAsia="en-GB"/>
      </w:rPr>
      <w:drawing>
        <wp:anchor distT="0" distB="0" distL="114300" distR="114300" simplePos="0" relativeHeight="251660288" behindDoc="0" locked="0" layoutInCell="1" allowOverlap="1" wp14:anchorId="75798E90" wp14:editId="535F1D8D">
          <wp:simplePos x="0" y="0"/>
          <wp:positionH relativeFrom="margin">
            <wp:posOffset>4962525</wp:posOffset>
          </wp:positionH>
          <wp:positionV relativeFrom="paragraph">
            <wp:posOffset>-245110</wp:posOffset>
          </wp:positionV>
          <wp:extent cx="1522730" cy="560705"/>
          <wp:effectExtent l="0" t="0" r="127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RCOG white.png"/>
                  <pic:cNvPicPr/>
                </pic:nvPicPr>
                <pic:blipFill>
                  <a:blip r:embed="rId1">
                    <a:extLst>
                      <a:ext uri="{28A0092B-C50C-407E-A947-70E740481C1C}">
                        <a14:useLocalDpi xmlns:a14="http://schemas.microsoft.com/office/drawing/2010/main" val="0"/>
                      </a:ext>
                    </a:extLst>
                  </a:blip>
                  <a:stretch>
                    <a:fillRect/>
                  </a:stretch>
                </pic:blipFill>
                <pic:spPr>
                  <a:xfrm>
                    <a:off x="0" y="0"/>
                    <a:ext cx="1522730" cy="560705"/>
                  </a:xfrm>
                  <a:prstGeom prst="rect">
                    <a:avLst/>
                  </a:prstGeom>
                </pic:spPr>
              </pic:pic>
            </a:graphicData>
          </a:graphic>
          <wp14:sizeRelH relativeFrom="page">
            <wp14:pctWidth>0</wp14:pctWidth>
          </wp14:sizeRelH>
          <wp14:sizeRelV relativeFrom="page">
            <wp14:pctHeight>0</wp14:pctHeight>
          </wp14:sizeRelV>
        </wp:anchor>
      </w:drawing>
    </w:r>
    <w:r w:rsidRPr="00F74EA5">
      <w:rPr>
        <w:noProof/>
        <w:lang w:eastAsia="en-GB"/>
      </w:rPr>
      <mc:AlternateContent>
        <mc:Choice Requires="wps">
          <w:drawing>
            <wp:anchor distT="0" distB="0" distL="114300" distR="114300" simplePos="0" relativeHeight="251659264" behindDoc="0" locked="0" layoutInCell="1" allowOverlap="1" wp14:anchorId="3D76385D" wp14:editId="7B5D1569">
              <wp:simplePos x="0" y="0"/>
              <wp:positionH relativeFrom="column">
                <wp:posOffset>-1095375</wp:posOffset>
              </wp:positionH>
              <wp:positionV relativeFrom="paragraph">
                <wp:posOffset>-486410</wp:posOffset>
              </wp:positionV>
              <wp:extent cx="7791450" cy="9620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7791450" cy="962025"/>
                      </a:xfrm>
                      <a:prstGeom prst="rect">
                        <a:avLst/>
                      </a:prstGeom>
                      <a:solidFill>
                        <a:srgbClr val="00417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 style="position:absolute;margin-left:-86.25pt;margin-top:-38.3pt;width:613.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4176" strokecolor="#1f4d78 [1604]" strokeweight="1pt" w14:anchorId="68271D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8A1B4"/>
    <w:multiLevelType w:val="hybridMultilevel"/>
    <w:tmpl w:val="908E0648"/>
    <w:lvl w:ilvl="0" w:tplc="79ECEC9C">
      <w:start w:val="1"/>
      <w:numFmt w:val="lowerLetter"/>
      <w:lvlText w:val="%1."/>
      <w:lvlJc w:val="left"/>
      <w:pPr>
        <w:ind w:left="1440" w:hanging="360"/>
      </w:pPr>
      <w:rPr>
        <w:rFonts w:hint="default" w:ascii="Aptos" w:hAnsi="Aptos"/>
      </w:rPr>
    </w:lvl>
    <w:lvl w:ilvl="1" w:tplc="B1080DEE">
      <w:start w:val="1"/>
      <w:numFmt w:val="lowerLetter"/>
      <w:lvlText w:val="%2."/>
      <w:lvlJc w:val="left"/>
      <w:pPr>
        <w:ind w:left="1440" w:hanging="360"/>
      </w:pPr>
    </w:lvl>
    <w:lvl w:ilvl="2" w:tplc="E668CF78">
      <w:start w:val="1"/>
      <w:numFmt w:val="lowerRoman"/>
      <w:lvlText w:val="%3."/>
      <w:lvlJc w:val="right"/>
      <w:pPr>
        <w:ind w:left="2160" w:hanging="180"/>
      </w:pPr>
    </w:lvl>
    <w:lvl w:ilvl="3" w:tplc="E7508EE0">
      <w:start w:val="1"/>
      <w:numFmt w:val="decimal"/>
      <w:lvlText w:val="%4."/>
      <w:lvlJc w:val="left"/>
      <w:pPr>
        <w:ind w:left="2880" w:hanging="360"/>
      </w:pPr>
    </w:lvl>
    <w:lvl w:ilvl="4" w:tplc="C9C4F004">
      <w:start w:val="1"/>
      <w:numFmt w:val="lowerLetter"/>
      <w:lvlText w:val="%5."/>
      <w:lvlJc w:val="left"/>
      <w:pPr>
        <w:ind w:left="3600" w:hanging="360"/>
      </w:pPr>
    </w:lvl>
    <w:lvl w:ilvl="5" w:tplc="7F2C620A">
      <w:start w:val="1"/>
      <w:numFmt w:val="lowerRoman"/>
      <w:lvlText w:val="%6."/>
      <w:lvlJc w:val="right"/>
      <w:pPr>
        <w:ind w:left="4320" w:hanging="180"/>
      </w:pPr>
    </w:lvl>
    <w:lvl w:ilvl="6" w:tplc="84901D18">
      <w:start w:val="1"/>
      <w:numFmt w:val="decimal"/>
      <w:lvlText w:val="%7."/>
      <w:lvlJc w:val="left"/>
      <w:pPr>
        <w:ind w:left="5040" w:hanging="360"/>
      </w:pPr>
    </w:lvl>
    <w:lvl w:ilvl="7" w:tplc="657246DC">
      <w:start w:val="1"/>
      <w:numFmt w:val="lowerLetter"/>
      <w:lvlText w:val="%8."/>
      <w:lvlJc w:val="left"/>
      <w:pPr>
        <w:ind w:left="5760" w:hanging="360"/>
      </w:pPr>
    </w:lvl>
    <w:lvl w:ilvl="8" w:tplc="BCFA497A">
      <w:start w:val="1"/>
      <w:numFmt w:val="lowerRoman"/>
      <w:lvlText w:val="%9."/>
      <w:lvlJc w:val="right"/>
      <w:pPr>
        <w:ind w:left="6480" w:hanging="180"/>
      </w:pPr>
    </w:lvl>
  </w:abstractNum>
  <w:abstractNum w:abstractNumId="1" w15:restartNumberingAfterBreak="0">
    <w:nsid w:val="1ECF0C42"/>
    <w:multiLevelType w:val="hybridMultilevel"/>
    <w:tmpl w:val="A3B019DA"/>
    <w:lvl w:ilvl="0" w:tplc="102A7B2A">
      <w:start w:val="1"/>
      <w:numFmt w:val="decimal"/>
      <w:lvlText w:val="%1."/>
      <w:lvlJc w:val="left"/>
      <w:pPr>
        <w:ind w:left="720" w:hanging="360"/>
      </w:pPr>
      <w:rPr>
        <w:rFonts w:hint="default" w:ascii="Calibri" w:hAnsi="Calibri"/>
      </w:rPr>
    </w:lvl>
    <w:lvl w:ilvl="1" w:tplc="7F22D466">
      <w:start w:val="1"/>
      <w:numFmt w:val="lowerLetter"/>
      <w:lvlText w:val="%2."/>
      <w:lvlJc w:val="left"/>
      <w:pPr>
        <w:ind w:left="1440" w:hanging="360"/>
      </w:pPr>
    </w:lvl>
    <w:lvl w:ilvl="2" w:tplc="D3CCC124">
      <w:start w:val="1"/>
      <w:numFmt w:val="lowerRoman"/>
      <w:lvlText w:val="%3."/>
      <w:lvlJc w:val="right"/>
      <w:pPr>
        <w:ind w:left="2160" w:hanging="180"/>
      </w:pPr>
    </w:lvl>
    <w:lvl w:ilvl="3" w:tplc="38603B18">
      <w:start w:val="1"/>
      <w:numFmt w:val="decimal"/>
      <w:lvlText w:val="%4."/>
      <w:lvlJc w:val="left"/>
      <w:pPr>
        <w:ind w:left="2880" w:hanging="360"/>
      </w:pPr>
    </w:lvl>
    <w:lvl w:ilvl="4" w:tplc="615EC648">
      <w:start w:val="1"/>
      <w:numFmt w:val="lowerLetter"/>
      <w:lvlText w:val="%5."/>
      <w:lvlJc w:val="left"/>
      <w:pPr>
        <w:ind w:left="3600" w:hanging="360"/>
      </w:pPr>
    </w:lvl>
    <w:lvl w:ilvl="5" w:tplc="419674F0">
      <w:start w:val="1"/>
      <w:numFmt w:val="lowerRoman"/>
      <w:lvlText w:val="%6."/>
      <w:lvlJc w:val="right"/>
      <w:pPr>
        <w:ind w:left="4320" w:hanging="180"/>
      </w:pPr>
    </w:lvl>
    <w:lvl w:ilvl="6" w:tplc="A87C4934">
      <w:start w:val="1"/>
      <w:numFmt w:val="decimal"/>
      <w:lvlText w:val="%7."/>
      <w:lvlJc w:val="left"/>
      <w:pPr>
        <w:ind w:left="5040" w:hanging="360"/>
      </w:pPr>
    </w:lvl>
    <w:lvl w:ilvl="7" w:tplc="BF66598A">
      <w:start w:val="1"/>
      <w:numFmt w:val="lowerLetter"/>
      <w:lvlText w:val="%8."/>
      <w:lvlJc w:val="left"/>
      <w:pPr>
        <w:ind w:left="5760" w:hanging="360"/>
      </w:pPr>
    </w:lvl>
    <w:lvl w:ilvl="8" w:tplc="6E10DDDA">
      <w:start w:val="1"/>
      <w:numFmt w:val="lowerRoman"/>
      <w:lvlText w:val="%9."/>
      <w:lvlJc w:val="right"/>
      <w:pPr>
        <w:ind w:left="6480" w:hanging="180"/>
      </w:pPr>
    </w:lvl>
  </w:abstractNum>
  <w:abstractNum w:abstractNumId="2" w15:restartNumberingAfterBreak="0">
    <w:nsid w:val="291C5E5B"/>
    <w:multiLevelType w:val="hybridMultilevel"/>
    <w:tmpl w:val="AE7EBAAE"/>
    <w:lvl w:ilvl="0" w:tplc="24DEC9EC">
      <w:start w:val="1"/>
      <w:numFmt w:val="decimal"/>
      <w:lvlText w:val="%1."/>
      <w:lvlJc w:val="left"/>
      <w:pPr>
        <w:ind w:left="720" w:hanging="360"/>
      </w:pPr>
      <w:rPr>
        <w:rFonts w:hint="default" w:ascii="Aptos" w:hAnsi="Aptos"/>
      </w:rPr>
    </w:lvl>
    <w:lvl w:ilvl="1" w:tplc="0510B8D6">
      <w:start w:val="1"/>
      <w:numFmt w:val="lowerLetter"/>
      <w:lvlText w:val="%2."/>
      <w:lvlJc w:val="left"/>
      <w:pPr>
        <w:ind w:left="1440" w:hanging="360"/>
      </w:pPr>
    </w:lvl>
    <w:lvl w:ilvl="2" w:tplc="5E80E906">
      <w:start w:val="1"/>
      <w:numFmt w:val="lowerRoman"/>
      <w:lvlText w:val="%3."/>
      <w:lvlJc w:val="right"/>
      <w:pPr>
        <w:ind w:left="2160" w:hanging="180"/>
      </w:pPr>
    </w:lvl>
    <w:lvl w:ilvl="3" w:tplc="0BCA8878">
      <w:start w:val="1"/>
      <w:numFmt w:val="decimal"/>
      <w:lvlText w:val="%4."/>
      <w:lvlJc w:val="left"/>
      <w:pPr>
        <w:ind w:left="2880" w:hanging="360"/>
      </w:pPr>
    </w:lvl>
    <w:lvl w:ilvl="4" w:tplc="F8240FBE">
      <w:start w:val="1"/>
      <w:numFmt w:val="lowerLetter"/>
      <w:lvlText w:val="%5."/>
      <w:lvlJc w:val="left"/>
      <w:pPr>
        <w:ind w:left="3600" w:hanging="360"/>
      </w:pPr>
    </w:lvl>
    <w:lvl w:ilvl="5" w:tplc="6332D5FA">
      <w:start w:val="1"/>
      <w:numFmt w:val="lowerRoman"/>
      <w:lvlText w:val="%6."/>
      <w:lvlJc w:val="right"/>
      <w:pPr>
        <w:ind w:left="4320" w:hanging="180"/>
      </w:pPr>
    </w:lvl>
    <w:lvl w:ilvl="6" w:tplc="747C5BA4">
      <w:start w:val="1"/>
      <w:numFmt w:val="decimal"/>
      <w:lvlText w:val="%7."/>
      <w:lvlJc w:val="left"/>
      <w:pPr>
        <w:ind w:left="5040" w:hanging="360"/>
      </w:pPr>
    </w:lvl>
    <w:lvl w:ilvl="7" w:tplc="0356572E">
      <w:start w:val="1"/>
      <w:numFmt w:val="lowerLetter"/>
      <w:lvlText w:val="%8."/>
      <w:lvlJc w:val="left"/>
      <w:pPr>
        <w:ind w:left="5760" w:hanging="360"/>
      </w:pPr>
    </w:lvl>
    <w:lvl w:ilvl="8" w:tplc="10525BB6">
      <w:start w:val="1"/>
      <w:numFmt w:val="lowerRoman"/>
      <w:lvlText w:val="%9."/>
      <w:lvlJc w:val="right"/>
      <w:pPr>
        <w:ind w:left="6480" w:hanging="180"/>
      </w:pPr>
    </w:lvl>
  </w:abstractNum>
  <w:abstractNum w:abstractNumId="3" w15:restartNumberingAfterBreak="0">
    <w:nsid w:val="3BD37AAD"/>
    <w:multiLevelType w:val="hybridMultilevel"/>
    <w:tmpl w:val="E8D85976"/>
    <w:lvl w:ilvl="0" w:tplc="8390BD32">
      <w:start w:val="1"/>
      <w:numFmt w:val="decimal"/>
      <w:lvlText w:val="%1."/>
      <w:lvlJc w:val="left"/>
      <w:pPr>
        <w:ind w:left="720" w:hanging="360"/>
      </w:pPr>
    </w:lvl>
    <w:lvl w:ilvl="1" w:tplc="B73266A4">
      <w:start w:val="1"/>
      <w:numFmt w:val="lowerLetter"/>
      <w:lvlText w:val="%2."/>
      <w:lvlJc w:val="left"/>
      <w:pPr>
        <w:ind w:left="1440" w:hanging="360"/>
      </w:pPr>
    </w:lvl>
    <w:lvl w:ilvl="2" w:tplc="0C3CB27A">
      <w:start w:val="1"/>
      <w:numFmt w:val="lowerRoman"/>
      <w:lvlText w:val="%3."/>
      <w:lvlJc w:val="right"/>
      <w:pPr>
        <w:ind w:left="2160" w:hanging="180"/>
      </w:pPr>
    </w:lvl>
    <w:lvl w:ilvl="3" w:tplc="7A14DF40">
      <w:start w:val="1"/>
      <w:numFmt w:val="decimal"/>
      <w:lvlText w:val="%4."/>
      <w:lvlJc w:val="left"/>
      <w:pPr>
        <w:ind w:left="2880" w:hanging="360"/>
      </w:pPr>
    </w:lvl>
    <w:lvl w:ilvl="4" w:tplc="32C2C356">
      <w:start w:val="1"/>
      <w:numFmt w:val="lowerLetter"/>
      <w:lvlText w:val="%5."/>
      <w:lvlJc w:val="left"/>
      <w:pPr>
        <w:ind w:left="3600" w:hanging="360"/>
      </w:pPr>
    </w:lvl>
    <w:lvl w:ilvl="5" w:tplc="6FA473CC">
      <w:start w:val="1"/>
      <w:numFmt w:val="lowerRoman"/>
      <w:lvlText w:val="%6."/>
      <w:lvlJc w:val="right"/>
      <w:pPr>
        <w:ind w:left="4320" w:hanging="180"/>
      </w:pPr>
    </w:lvl>
    <w:lvl w:ilvl="6" w:tplc="D50CC0E6">
      <w:start w:val="1"/>
      <w:numFmt w:val="decimal"/>
      <w:lvlText w:val="%7."/>
      <w:lvlJc w:val="left"/>
      <w:pPr>
        <w:ind w:left="5040" w:hanging="360"/>
      </w:pPr>
    </w:lvl>
    <w:lvl w:ilvl="7" w:tplc="CAC44CCA">
      <w:start w:val="1"/>
      <w:numFmt w:val="lowerLetter"/>
      <w:lvlText w:val="%8."/>
      <w:lvlJc w:val="left"/>
      <w:pPr>
        <w:ind w:left="5760" w:hanging="360"/>
      </w:pPr>
    </w:lvl>
    <w:lvl w:ilvl="8" w:tplc="36605014">
      <w:start w:val="1"/>
      <w:numFmt w:val="lowerRoman"/>
      <w:lvlText w:val="%9."/>
      <w:lvlJc w:val="right"/>
      <w:pPr>
        <w:ind w:left="6480" w:hanging="180"/>
      </w:pPr>
    </w:lvl>
  </w:abstractNum>
  <w:abstractNum w:abstractNumId="4" w15:restartNumberingAfterBreak="0">
    <w:nsid w:val="46E41A16"/>
    <w:multiLevelType w:val="multilevel"/>
    <w:tmpl w:val="B1D48BA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4D7CDEC4"/>
    <w:multiLevelType w:val="hybridMultilevel"/>
    <w:tmpl w:val="D690FE46"/>
    <w:lvl w:ilvl="0" w:tplc="81B22DD4">
      <w:start w:val="1"/>
      <w:numFmt w:val="bullet"/>
      <w:lvlText w:val=""/>
      <w:lvlJc w:val="left"/>
      <w:pPr>
        <w:ind w:left="720" w:hanging="360"/>
      </w:pPr>
      <w:rPr>
        <w:rFonts w:hint="default" w:ascii="Symbol" w:hAnsi="Symbol"/>
      </w:rPr>
    </w:lvl>
    <w:lvl w:ilvl="1" w:tplc="7B9C9E2C">
      <w:start w:val="1"/>
      <w:numFmt w:val="bullet"/>
      <w:lvlText w:val="o"/>
      <w:lvlJc w:val="left"/>
      <w:pPr>
        <w:ind w:left="1440" w:hanging="360"/>
      </w:pPr>
      <w:rPr>
        <w:rFonts w:hint="default" w:ascii="Courier New" w:hAnsi="Courier New"/>
      </w:rPr>
    </w:lvl>
    <w:lvl w:ilvl="2" w:tplc="AE489462">
      <w:start w:val="1"/>
      <w:numFmt w:val="bullet"/>
      <w:lvlText w:val=""/>
      <w:lvlJc w:val="left"/>
      <w:pPr>
        <w:ind w:left="2160" w:hanging="360"/>
      </w:pPr>
      <w:rPr>
        <w:rFonts w:hint="default" w:ascii="Wingdings" w:hAnsi="Wingdings"/>
      </w:rPr>
    </w:lvl>
    <w:lvl w:ilvl="3" w:tplc="E932B0F2">
      <w:start w:val="1"/>
      <w:numFmt w:val="bullet"/>
      <w:lvlText w:val=""/>
      <w:lvlJc w:val="left"/>
      <w:pPr>
        <w:ind w:left="2880" w:hanging="360"/>
      </w:pPr>
      <w:rPr>
        <w:rFonts w:hint="default" w:ascii="Symbol" w:hAnsi="Symbol"/>
      </w:rPr>
    </w:lvl>
    <w:lvl w:ilvl="4" w:tplc="AB567594">
      <w:start w:val="1"/>
      <w:numFmt w:val="bullet"/>
      <w:lvlText w:val="o"/>
      <w:lvlJc w:val="left"/>
      <w:pPr>
        <w:ind w:left="3600" w:hanging="360"/>
      </w:pPr>
      <w:rPr>
        <w:rFonts w:hint="default" w:ascii="Courier New" w:hAnsi="Courier New"/>
      </w:rPr>
    </w:lvl>
    <w:lvl w:ilvl="5" w:tplc="400A35D6">
      <w:start w:val="1"/>
      <w:numFmt w:val="bullet"/>
      <w:lvlText w:val=""/>
      <w:lvlJc w:val="left"/>
      <w:pPr>
        <w:ind w:left="4320" w:hanging="360"/>
      </w:pPr>
      <w:rPr>
        <w:rFonts w:hint="default" w:ascii="Wingdings" w:hAnsi="Wingdings"/>
      </w:rPr>
    </w:lvl>
    <w:lvl w:ilvl="6" w:tplc="B374FE30">
      <w:start w:val="1"/>
      <w:numFmt w:val="bullet"/>
      <w:lvlText w:val=""/>
      <w:lvlJc w:val="left"/>
      <w:pPr>
        <w:ind w:left="5040" w:hanging="360"/>
      </w:pPr>
      <w:rPr>
        <w:rFonts w:hint="default" w:ascii="Symbol" w:hAnsi="Symbol"/>
      </w:rPr>
    </w:lvl>
    <w:lvl w:ilvl="7" w:tplc="18D4CA60">
      <w:start w:val="1"/>
      <w:numFmt w:val="bullet"/>
      <w:lvlText w:val="o"/>
      <w:lvlJc w:val="left"/>
      <w:pPr>
        <w:ind w:left="5760" w:hanging="360"/>
      </w:pPr>
      <w:rPr>
        <w:rFonts w:hint="default" w:ascii="Courier New" w:hAnsi="Courier New"/>
      </w:rPr>
    </w:lvl>
    <w:lvl w:ilvl="8" w:tplc="5A945CC4">
      <w:start w:val="1"/>
      <w:numFmt w:val="bullet"/>
      <w:lvlText w:val=""/>
      <w:lvlJc w:val="left"/>
      <w:pPr>
        <w:ind w:left="6480" w:hanging="360"/>
      </w:pPr>
      <w:rPr>
        <w:rFonts w:hint="default" w:ascii="Wingdings" w:hAnsi="Wingdings"/>
      </w:rPr>
    </w:lvl>
  </w:abstractNum>
  <w:abstractNum w:abstractNumId="6" w15:restartNumberingAfterBreak="0">
    <w:nsid w:val="4F068FB0"/>
    <w:multiLevelType w:val="multilevel"/>
    <w:tmpl w:val="E9A29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A72C8E"/>
    <w:multiLevelType w:val="hybridMultilevel"/>
    <w:tmpl w:val="80A477C8"/>
    <w:lvl w:ilvl="0" w:tplc="D9AC446C">
      <w:start w:val="1"/>
      <w:numFmt w:val="bullet"/>
      <w:lvlText w:val=""/>
      <w:lvlJc w:val="left"/>
      <w:pPr>
        <w:ind w:left="720" w:hanging="360"/>
      </w:pPr>
      <w:rPr>
        <w:rFonts w:hint="default" w:ascii="Symbol" w:hAnsi="Symbol"/>
      </w:rPr>
    </w:lvl>
    <w:lvl w:ilvl="1" w:tplc="2E2CCFF8">
      <w:start w:val="1"/>
      <w:numFmt w:val="bullet"/>
      <w:lvlText w:val="o"/>
      <w:lvlJc w:val="left"/>
      <w:pPr>
        <w:ind w:left="1440" w:hanging="360"/>
      </w:pPr>
      <w:rPr>
        <w:rFonts w:hint="default" w:ascii="Courier New" w:hAnsi="Courier New"/>
      </w:rPr>
    </w:lvl>
    <w:lvl w:ilvl="2" w:tplc="009CDE6C">
      <w:start w:val="1"/>
      <w:numFmt w:val="bullet"/>
      <w:lvlText w:val=""/>
      <w:lvlJc w:val="left"/>
      <w:pPr>
        <w:ind w:left="2160" w:hanging="360"/>
      </w:pPr>
      <w:rPr>
        <w:rFonts w:hint="default" w:ascii="Wingdings" w:hAnsi="Wingdings"/>
      </w:rPr>
    </w:lvl>
    <w:lvl w:ilvl="3" w:tplc="5330DCAA">
      <w:start w:val="1"/>
      <w:numFmt w:val="bullet"/>
      <w:lvlText w:val=""/>
      <w:lvlJc w:val="left"/>
      <w:pPr>
        <w:ind w:left="2880" w:hanging="360"/>
      </w:pPr>
      <w:rPr>
        <w:rFonts w:hint="default" w:ascii="Symbol" w:hAnsi="Symbol"/>
      </w:rPr>
    </w:lvl>
    <w:lvl w:ilvl="4" w:tplc="F69A1106">
      <w:start w:val="1"/>
      <w:numFmt w:val="bullet"/>
      <w:lvlText w:val="o"/>
      <w:lvlJc w:val="left"/>
      <w:pPr>
        <w:ind w:left="3600" w:hanging="360"/>
      </w:pPr>
      <w:rPr>
        <w:rFonts w:hint="default" w:ascii="Courier New" w:hAnsi="Courier New"/>
      </w:rPr>
    </w:lvl>
    <w:lvl w:ilvl="5" w:tplc="57EA0EFA">
      <w:start w:val="1"/>
      <w:numFmt w:val="bullet"/>
      <w:lvlText w:val=""/>
      <w:lvlJc w:val="left"/>
      <w:pPr>
        <w:ind w:left="4320" w:hanging="360"/>
      </w:pPr>
      <w:rPr>
        <w:rFonts w:hint="default" w:ascii="Wingdings" w:hAnsi="Wingdings"/>
      </w:rPr>
    </w:lvl>
    <w:lvl w:ilvl="6" w:tplc="0164B14A">
      <w:start w:val="1"/>
      <w:numFmt w:val="bullet"/>
      <w:lvlText w:val=""/>
      <w:lvlJc w:val="left"/>
      <w:pPr>
        <w:ind w:left="5040" w:hanging="360"/>
      </w:pPr>
      <w:rPr>
        <w:rFonts w:hint="default" w:ascii="Symbol" w:hAnsi="Symbol"/>
      </w:rPr>
    </w:lvl>
    <w:lvl w:ilvl="7" w:tplc="10529206">
      <w:start w:val="1"/>
      <w:numFmt w:val="bullet"/>
      <w:lvlText w:val="o"/>
      <w:lvlJc w:val="left"/>
      <w:pPr>
        <w:ind w:left="5760" w:hanging="360"/>
      </w:pPr>
      <w:rPr>
        <w:rFonts w:hint="default" w:ascii="Courier New" w:hAnsi="Courier New"/>
      </w:rPr>
    </w:lvl>
    <w:lvl w:ilvl="8" w:tplc="747086D8">
      <w:start w:val="1"/>
      <w:numFmt w:val="bullet"/>
      <w:lvlText w:val=""/>
      <w:lvlJc w:val="left"/>
      <w:pPr>
        <w:ind w:left="6480" w:hanging="360"/>
      </w:pPr>
      <w:rPr>
        <w:rFonts w:hint="default" w:ascii="Wingdings" w:hAnsi="Wingdings"/>
      </w:rPr>
    </w:lvl>
  </w:abstractNum>
  <w:abstractNum w:abstractNumId="8" w15:restartNumberingAfterBreak="0">
    <w:nsid w:val="66031C47"/>
    <w:multiLevelType w:val="hybridMultilevel"/>
    <w:tmpl w:val="2D8A77B6"/>
    <w:lvl w:ilvl="0" w:tplc="FBA80EAA">
      <w:start w:val="1"/>
      <w:numFmt w:val="decimal"/>
      <w:lvlText w:val="%1."/>
      <w:lvlJc w:val="left"/>
      <w:pPr>
        <w:ind w:left="720" w:hanging="360"/>
      </w:pPr>
      <w:rPr>
        <w:rFonts w:hint="default" w:ascii="Calibri" w:hAnsi="Calibri"/>
      </w:rPr>
    </w:lvl>
    <w:lvl w:ilvl="1" w:tplc="067E52CE">
      <w:start w:val="1"/>
      <w:numFmt w:val="lowerLetter"/>
      <w:lvlText w:val="%2."/>
      <w:lvlJc w:val="left"/>
      <w:pPr>
        <w:ind w:left="1440" w:hanging="360"/>
      </w:pPr>
    </w:lvl>
    <w:lvl w:ilvl="2" w:tplc="11C86144">
      <w:start w:val="1"/>
      <w:numFmt w:val="lowerRoman"/>
      <w:lvlText w:val="%3."/>
      <w:lvlJc w:val="right"/>
      <w:pPr>
        <w:ind w:left="2160" w:hanging="180"/>
      </w:pPr>
    </w:lvl>
    <w:lvl w:ilvl="3" w:tplc="F4726072">
      <w:start w:val="1"/>
      <w:numFmt w:val="decimal"/>
      <w:lvlText w:val="%4."/>
      <w:lvlJc w:val="left"/>
      <w:pPr>
        <w:ind w:left="2880" w:hanging="360"/>
      </w:pPr>
    </w:lvl>
    <w:lvl w:ilvl="4" w:tplc="4FDC1D1C">
      <w:start w:val="1"/>
      <w:numFmt w:val="lowerLetter"/>
      <w:lvlText w:val="%5."/>
      <w:lvlJc w:val="left"/>
      <w:pPr>
        <w:ind w:left="3600" w:hanging="360"/>
      </w:pPr>
    </w:lvl>
    <w:lvl w:ilvl="5" w:tplc="25847D10">
      <w:start w:val="1"/>
      <w:numFmt w:val="lowerRoman"/>
      <w:lvlText w:val="%6."/>
      <w:lvlJc w:val="right"/>
      <w:pPr>
        <w:ind w:left="4320" w:hanging="180"/>
      </w:pPr>
    </w:lvl>
    <w:lvl w:ilvl="6" w:tplc="56C42E5C">
      <w:start w:val="1"/>
      <w:numFmt w:val="decimal"/>
      <w:lvlText w:val="%7."/>
      <w:lvlJc w:val="left"/>
      <w:pPr>
        <w:ind w:left="5040" w:hanging="360"/>
      </w:pPr>
    </w:lvl>
    <w:lvl w:ilvl="7" w:tplc="E09AFA14">
      <w:start w:val="1"/>
      <w:numFmt w:val="lowerLetter"/>
      <w:lvlText w:val="%8."/>
      <w:lvlJc w:val="left"/>
      <w:pPr>
        <w:ind w:left="5760" w:hanging="360"/>
      </w:pPr>
    </w:lvl>
    <w:lvl w:ilvl="8" w:tplc="87CE8012">
      <w:start w:val="1"/>
      <w:numFmt w:val="lowerRoman"/>
      <w:lvlText w:val="%9."/>
      <w:lvlJc w:val="right"/>
      <w:pPr>
        <w:ind w:left="6480" w:hanging="180"/>
      </w:pPr>
    </w:lvl>
  </w:abstractNum>
  <w:abstractNum w:abstractNumId="9" w15:restartNumberingAfterBreak="0">
    <w:nsid w:val="705B7D90"/>
    <w:multiLevelType w:val="hybridMultilevel"/>
    <w:tmpl w:val="54DCE4AA"/>
    <w:lvl w:ilvl="0" w:tplc="F9587026">
      <w:start w:val="8"/>
      <w:numFmt w:val="bullet"/>
      <w:lvlText w:val=""/>
      <w:lvlJc w:val="left"/>
      <w:pPr>
        <w:ind w:left="720" w:hanging="360"/>
      </w:pPr>
      <w:rPr>
        <w:rFonts w:hint="default" w:ascii="Wingdings" w:hAnsi="Wingdings"/>
      </w:rPr>
    </w:lvl>
    <w:lvl w:ilvl="1" w:tplc="D0D2A908">
      <w:start w:val="1"/>
      <w:numFmt w:val="bullet"/>
      <w:lvlText w:val="o"/>
      <w:lvlJc w:val="left"/>
      <w:pPr>
        <w:ind w:left="1440" w:hanging="360"/>
      </w:pPr>
      <w:rPr>
        <w:rFonts w:hint="default" w:ascii="Courier New" w:hAnsi="Courier New"/>
      </w:rPr>
    </w:lvl>
    <w:lvl w:ilvl="2" w:tplc="34A64E3E">
      <w:start w:val="1"/>
      <w:numFmt w:val="bullet"/>
      <w:lvlText w:val=""/>
      <w:lvlJc w:val="left"/>
      <w:pPr>
        <w:ind w:left="2160" w:hanging="360"/>
      </w:pPr>
      <w:rPr>
        <w:rFonts w:hint="default" w:ascii="Wingdings" w:hAnsi="Wingdings"/>
      </w:rPr>
    </w:lvl>
    <w:lvl w:ilvl="3" w:tplc="F1807620">
      <w:start w:val="1"/>
      <w:numFmt w:val="bullet"/>
      <w:lvlText w:val=""/>
      <w:lvlJc w:val="left"/>
      <w:pPr>
        <w:ind w:left="2880" w:hanging="360"/>
      </w:pPr>
      <w:rPr>
        <w:rFonts w:hint="default" w:ascii="Symbol" w:hAnsi="Symbol"/>
      </w:rPr>
    </w:lvl>
    <w:lvl w:ilvl="4" w:tplc="16063D72">
      <w:start w:val="1"/>
      <w:numFmt w:val="bullet"/>
      <w:lvlText w:val="o"/>
      <w:lvlJc w:val="left"/>
      <w:pPr>
        <w:ind w:left="3600" w:hanging="360"/>
      </w:pPr>
      <w:rPr>
        <w:rFonts w:hint="default" w:ascii="Courier New" w:hAnsi="Courier New"/>
      </w:rPr>
    </w:lvl>
    <w:lvl w:ilvl="5" w:tplc="CD108B20">
      <w:start w:val="1"/>
      <w:numFmt w:val="bullet"/>
      <w:lvlText w:val=""/>
      <w:lvlJc w:val="left"/>
      <w:pPr>
        <w:ind w:left="4320" w:hanging="360"/>
      </w:pPr>
      <w:rPr>
        <w:rFonts w:hint="default" w:ascii="Wingdings" w:hAnsi="Wingdings"/>
      </w:rPr>
    </w:lvl>
    <w:lvl w:ilvl="6" w:tplc="E25A538C">
      <w:start w:val="1"/>
      <w:numFmt w:val="bullet"/>
      <w:lvlText w:val=""/>
      <w:lvlJc w:val="left"/>
      <w:pPr>
        <w:ind w:left="5040" w:hanging="360"/>
      </w:pPr>
      <w:rPr>
        <w:rFonts w:hint="default" w:ascii="Symbol" w:hAnsi="Symbol"/>
      </w:rPr>
    </w:lvl>
    <w:lvl w:ilvl="7" w:tplc="A80EA18E">
      <w:start w:val="1"/>
      <w:numFmt w:val="bullet"/>
      <w:lvlText w:val="o"/>
      <w:lvlJc w:val="left"/>
      <w:pPr>
        <w:ind w:left="5760" w:hanging="360"/>
      </w:pPr>
      <w:rPr>
        <w:rFonts w:hint="default" w:ascii="Courier New" w:hAnsi="Courier New"/>
      </w:rPr>
    </w:lvl>
    <w:lvl w:ilvl="8" w:tplc="4A284C64">
      <w:start w:val="1"/>
      <w:numFmt w:val="bullet"/>
      <w:lvlText w:val=""/>
      <w:lvlJc w:val="left"/>
      <w:pPr>
        <w:ind w:left="6480" w:hanging="360"/>
      </w:pPr>
      <w:rPr>
        <w:rFonts w:hint="default" w:ascii="Wingdings" w:hAnsi="Wingdings"/>
      </w:rPr>
    </w:lvl>
  </w:abstractNum>
  <w:abstractNum w:abstractNumId="10" w15:restartNumberingAfterBreak="0">
    <w:nsid w:val="70BE49FC"/>
    <w:multiLevelType w:val="hybridMultilevel"/>
    <w:tmpl w:val="3D30BD62"/>
    <w:lvl w:ilvl="0" w:tplc="E81C1134">
      <w:start w:val="1"/>
      <w:numFmt w:val="bullet"/>
      <w:lvlText w:val=""/>
      <w:lvlJc w:val="left"/>
      <w:pPr>
        <w:ind w:left="720" w:hanging="360"/>
      </w:pPr>
      <w:rPr>
        <w:rFonts w:hint="default" w:ascii="Symbol" w:hAnsi="Symbol"/>
      </w:rPr>
    </w:lvl>
    <w:lvl w:ilvl="1" w:tplc="38E297E4">
      <w:start w:val="1"/>
      <w:numFmt w:val="bullet"/>
      <w:lvlText w:val="o"/>
      <w:lvlJc w:val="left"/>
      <w:pPr>
        <w:ind w:left="1440" w:hanging="360"/>
      </w:pPr>
      <w:rPr>
        <w:rFonts w:hint="default" w:ascii="Courier New" w:hAnsi="Courier New"/>
      </w:rPr>
    </w:lvl>
    <w:lvl w:ilvl="2" w:tplc="8FBEF57A">
      <w:start w:val="1"/>
      <w:numFmt w:val="bullet"/>
      <w:lvlText w:val=""/>
      <w:lvlJc w:val="left"/>
      <w:pPr>
        <w:ind w:left="2160" w:hanging="360"/>
      </w:pPr>
      <w:rPr>
        <w:rFonts w:hint="default" w:ascii="Wingdings" w:hAnsi="Wingdings"/>
      </w:rPr>
    </w:lvl>
    <w:lvl w:ilvl="3" w:tplc="F342C00C">
      <w:start w:val="1"/>
      <w:numFmt w:val="bullet"/>
      <w:lvlText w:val=""/>
      <w:lvlJc w:val="left"/>
      <w:pPr>
        <w:ind w:left="2880" w:hanging="360"/>
      </w:pPr>
      <w:rPr>
        <w:rFonts w:hint="default" w:ascii="Symbol" w:hAnsi="Symbol"/>
      </w:rPr>
    </w:lvl>
    <w:lvl w:ilvl="4" w:tplc="1A3CEDF8">
      <w:start w:val="1"/>
      <w:numFmt w:val="bullet"/>
      <w:lvlText w:val="o"/>
      <w:lvlJc w:val="left"/>
      <w:pPr>
        <w:ind w:left="3600" w:hanging="360"/>
      </w:pPr>
      <w:rPr>
        <w:rFonts w:hint="default" w:ascii="Courier New" w:hAnsi="Courier New"/>
      </w:rPr>
    </w:lvl>
    <w:lvl w:ilvl="5" w:tplc="E736A86C">
      <w:start w:val="1"/>
      <w:numFmt w:val="bullet"/>
      <w:lvlText w:val=""/>
      <w:lvlJc w:val="left"/>
      <w:pPr>
        <w:ind w:left="4320" w:hanging="360"/>
      </w:pPr>
      <w:rPr>
        <w:rFonts w:hint="default" w:ascii="Wingdings" w:hAnsi="Wingdings"/>
      </w:rPr>
    </w:lvl>
    <w:lvl w:ilvl="6" w:tplc="D786C152">
      <w:start w:val="1"/>
      <w:numFmt w:val="bullet"/>
      <w:lvlText w:val=""/>
      <w:lvlJc w:val="left"/>
      <w:pPr>
        <w:ind w:left="5040" w:hanging="360"/>
      </w:pPr>
      <w:rPr>
        <w:rFonts w:hint="default" w:ascii="Symbol" w:hAnsi="Symbol"/>
      </w:rPr>
    </w:lvl>
    <w:lvl w:ilvl="7" w:tplc="15BC3F68">
      <w:start w:val="1"/>
      <w:numFmt w:val="bullet"/>
      <w:lvlText w:val="o"/>
      <w:lvlJc w:val="left"/>
      <w:pPr>
        <w:ind w:left="5760" w:hanging="360"/>
      </w:pPr>
      <w:rPr>
        <w:rFonts w:hint="default" w:ascii="Courier New" w:hAnsi="Courier New"/>
      </w:rPr>
    </w:lvl>
    <w:lvl w:ilvl="8" w:tplc="00C4BDA4">
      <w:start w:val="1"/>
      <w:numFmt w:val="bullet"/>
      <w:lvlText w:val=""/>
      <w:lvlJc w:val="left"/>
      <w:pPr>
        <w:ind w:left="6480" w:hanging="360"/>
      </w:pPr>
      <w:rPr>
        <w:rFonts w:hint="default" w:ascii="Wingdings" w:hAnsi="Wingdings"/>
      </w:rPr>
    </w:lvl>
  </w:abstractNum>
  <w:num w:numId="1" w16cid:durableId="1181701284">
    <w:abstractNumId w:val="9"/>
  </w:num>
  <w:num w:numId="2" w16cid:durableId="1838616089">
    <w:abstractNumId w:val="8"/>
  </w:num>
  <w:num w:numId="3" w16cid:durableId="1060711169">
    <w:abstractNumId w:val="1"/>
  </w:num>
  <w:num w:numId="4" w16cid:durableId="580529097">
    <w:abstractNumId w:val="2"/>
  </w:num>
  <w:num w:numId="5" w16cid:durableId="1012924547">
    <w:abstractNumId w:val="6"/>
  </w:num>
  <w:num w:numId="6" w16cid:durableId="1063722793">
    <w:abstractNumId w:val="10"/>
  </w:num>
  <w:num w:numId="7" w16cid:durableId="290288189">
    <w:abstractNumId w:val="5"/>
  </w:num>
  <w:num w:numId="8" w16cid:durableId="78215511">
    <w:abstractNumId w:val="4"/>
  </w:num>
  <w:num w:numId="9" w16cid:durableId="941189421">
    <w:abstractNumId w:val="0"/>
  </w:num>
  <w:num w:numId="10" w16cid:durableId="1517698291">
    <w:abstractNumId w:val="3"/>
  </w:num>
  <w:num w:numId="11" w16cid:durableId="752703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A5"/>
    <w:rsid w:val="00021668"/>
    <w:rsid w:val="00053899"/>
    <w:rsid w:val="00123FEC"/>
    <w:rsid w:val="0017671A"/>
    <w:rsid w:val="001A28E5"/>
    <w:rsid w:val="001F4AFF"/>
    <w:rsid w:val="00206FB7"/>
    <w:rsid w:val="002233BB"/>
    <w:rsid w:val="00255C65"/>
    <w:rsid w:val="002C5396"/>
    <w:rsid w:val="002E3BAD"/>
    <w:rsid w:val="002F0B9E"/>
    <w:rsid w:val="00325FCB"/>
    <w:rsid w:val="003B7C6A"/>
    <w:rsid w:val="003C3095"/>
    <w:rsid w:val="003F38D5"/>
    <w:rsid w:val="003F5A34"/>
    <w:rsid w:val="004508E6"/>
    <w:rsid w:val="00465745"/>
    <w:rsid w:val="00597A7C"/>
    <w:rsid w:val="005C355C"/>
    <w:rsid w:val="005D0183"/>
    <w:rsid w:val="006954C3"/>
    <w:rsid w:val="006C2BEF"/>
    <w:rsid w:val="006D1DE9"/>
    <w:rsid w:val="007108C9"/>
    <w:rsid w:val="00737490"/>
    <w:rsid w:val="007519DD"/>
    <w:rsid w:val="007C42C2"/>
    <w:rsid w:val="008B0775"/>
    <w:rsid w:val="008B0AB9"/>
    <w:rsid w:val="009A276A"/>
    <w:rsid w:val="009B5EDF"/>
    <w:rsid w:val="00A24ACD"/>
    <w:rsid w:val="00A47DA7"/>
    <w:rsid w:val="00A80E77"/>
    <w:rsid w:val="00A86250"/>
    <w:rsid w:val="00AC300F"/>
    <w:rsid w:val="00AE00AD"/>
    <w:rsid w:val="00AE4DA4"/>
    <w:rsid w:val="00B9725B"/>
    <w:rsid w:val="00CD25DE"/>
    <w:rsid w:val="00DB6E33"/>
    <w:rsid w:val="00E07C4A"/>
    <w:rsid w:val="00E130F8"/>
    <w:rsid w:val="00E353A7"/>
    <w:rsid w:val="00E82386"/>
    <w:rsid w:val="00E874EE"/>
    <w:rsid w:val="00F05E51"/>
    <w:rsid w:val="00F74EA5"/>
    <w:rsid w:val="05A18D77"/>
    <w:rsid w:val="0B8E3952"/>
    <w:rsid w:val="0E277ECC"/>
    <w:rsid w:val="0FFF5136"/>
    <w:rsid w:val="11F5570D"/>
    <w:rsid w:val="1396CA20"/>
    <w:rsid w:val="17736A2F"/>
    <w:rsid w:val="1A2FCFB5"/>
    <w:rsid w:val="1D731B19"/>
    <w:rsid w:val="1F4676D8"/>
    <w:rsid w:val="1F48DAA2"/>
    <w:rsid w:val="1F51D482"/>
    <w:rsid w:val="231F1BB6"/>
    <w:rsid w:val="2AAE9D99"/>
    <w:rsid w:val="2ABD52E5"/>
    <w:rsid w:val="2C43AB81"/>
    <w:rsid w:val="2C7B6E52"/>
    <w:rsid w:val="2D501A88"/>
    <w:rsid w:val="2FF77C75"/>
    <w:rsid w:val="30F4A987"/>
    <w:rsid w:val="338BC42D"/>
    <w:rsid w:val="349C2AAE"/>
    <w:rsid w:val="38BAF037"/>
    <w:rsid w:val="39DE4654"/>
    <w:rsid w:val="3A232ED9"/>
    <w:rsid w:val="3BF5B3C0"/>
    <w:rsid w:val="3C0C8CE0"/>
    <w:rsid w:val="3D36EED5"/>
    <w:rsid w:val="3E08D48F"/>
    <w:rsid w:val="40AD8668"/>
    <w:rsid w:val="45FC77A4"/>
    <w:rsid w:val="471C64F6"/>
    <w:rsid w:val="489CD76B"/>
    <w:rsid w:val="4A3256F4"/>
    <w:rsid w:val="4ACD175A"/>
    <w:rsid w:val="4C9258E6"/>
    <w:rsid w:val="4E57F802"/>
    <w:rsid w:val="5B061E32"/>
    <w:rsid w:val="5E922214"/>
    <w:rsid w:val="5E922214"/>
    <w:rsid w:val="5EF88C98"/>
    <w:rsid w:val="62F90CFC"/>
    <w:rsid w:val="652FA0AF"/>
    <w:rsid w:val="65D60608"/>
    <w:rsid w:val="67E65400"/>
    <w:rsid w:val="6C9C1AAD"/>
    <w:rsid w:val="7113E963"/>
    <w:rsid w:val="7C54500E"/>
    <w:rsid w:val="7E398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054"/>
  <w15:chartTrackingRefBased/>
  <w15:docId w15:val="{131921AB-D00B-4C51-BC30-54311E41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9725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uiPriority w:val="9"/>
    <w:unhideWhenUsed/>
    <w:qFormat/>
    <w:rsid w:val="3A232ED9"/>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Heading3">
    <w:name w:val="heading 3"/>
    <w:basedOn w:val="Normal"/>
    <w:next w:val="Normal"/>
    <w:uiPriority w:val="9"/>
    <w:unhideWhenUsed/>
    <w:qFormat/>
    <w:rsid w:val="3A232ED9"/>
    <w:pPr>
      <w:keepNext/>
      <w:keepLines/>
      <w:spacing w:before="160" w:after="80"/>
      <w:outlineLvl w:val="2"/>
    </w:pPr>
    <w:rPr>
      <w:rFonts w:eastAsiaTheme="majorEastAsia" w:cstheme="majorBidi"/>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74E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74EA5"/>
  </w:style>
  <w:style w:type="paragraph" w:styleId="Footer">
    <w:name w:val="footer"/>
    <w:basedOn w:val="Normal"/>
    <w:link w:val="FooterChar"/>
    <w:uiPriority w:val="99"/>
    <w:unhideWhenUsed/>
    <w:rsid w:val="00F74E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74EA5"/>
  </w:style>
  <w:style w:type="table" w:styleId="TableGrid">
    <w:name w:val="Table Grid"/>
    <w:basedOn w:val="TableNormal"/>
    <w:uiPriority w:val="39"/>
    <w:rsid w:val="00B9725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eNumber">
    <w:name w:val="page number"/>
    <w:basedOn w:val="DefaultParagraphFont"/>
    <w:uiPriority w:val="99"/>
    <w:semiHidden/>
    <w:unhideWhenUsed/>
    <w:rsid w:val="00B9725B"/>
  </w:style>
  <w:style w:type="paragraph" w:styleId="Style1" w:customStyle="1">
    <w:name w:val="Style1"/>
    <w:basedOn w:val="Heading1"/>
    <w:qFormat/>
    <w:rsid w:val="00B9725B"/>
    <w:pPr>
      <w:spacing w:line="240" w:lineRule="auto"/>
    </w:pPr>
    <w:rPr>
      <w:rFonts w:ascii="Gill Sans MT" w:hAnsi="Gill Sans MT"/>
      <w:color w:val="939494"/>
      <w:sz w:val="56"/>
    </w:rPr>
  </w:style>
  <w:style w:type="character" w:styleId="Heading1Char" w:customStyle="1">
    <w:name w:val="Heading 1 Char"/>
    <w:basedOn w:val="DefaultParagraphFont"/>
    <w:link w:val="Heading1"/>
    <w:uiPriority w:val="9"/>
    <w:rsid w:val="00B9725B"/>
    <w:rPr>
      <w:rFonts w:asciiTheme="majorHAnsi" w:hAnsiTheme="majorHAnsi" w:eastAsiaTheme="majorEastAsia" w:cstheme="majorBidi"/>
      <w:color w:val="2E74B5" w:themeColor="accent1" w:themeShade="BF"/>
      <w:sz w:val="32"/>
      <w:szCs w:val="32"/>
    </w:rPr>
  </w:style>
  <w:style w:type="paragraph" w:styleId="EndNoteBibliography" w:customStyle="1">
    <w:name w:val="EndNote Bibliography"/>
    <w:basedOn w:val="Normal"/>
    <w:link w:val="EndNoteBibliographyChar"/>
    <w:uiPriority w:val="1"/>
    <w:rsid w:val="4C9258E6"/>
    <w:pPr>
      <w:spacing w:line="240" w:lineRule="auto"/>
    </w:pPr>
    <w:rPr>
      <w:rFonts w:eastAsiaTheme="minorEastAsia"/>
      <w:sz w:val="24"/>
      <w:szCs w:val="24"/>
    </w:rPr>
  </w:style>
  <w:style w:type="character" w:styleId="EndNoteBibliographyChar" w:customStyle="1">
    <w:name w:val="EndNote Bibliography Char"/>
    <w:basedOn w:val="DefaultParagraphFont"/>
    <w:link w:val="EndNoteBibliography"/>
    <w:uiPriority w:val="1"/>
    <w:rsid w:val="4C9258E6"/>
    <w:rPr>
      <w:rFonts w:asciiTheme="minorHAnsi" w:hAnsiTheme="minorHAnsi" w:eastAsiaTheme="minorEastAsia" w:cstheme="minorBidi"/>
      <w:sz w:val="24"/>
      <w:szCs w:val="24"/>
    </w:rPr>
  </w:style>
  <w:style w:type="paragraph" w:styleId="ListParagraph">
    <w:name w:val="List Paragraph"/>
    <w:basedOn w:val="Normal"/>
    <w:uiPriority w:val="34"/>
    <w:qFormat/>
    <w:rsid w:val="4C9258E6"/>
    <w:pPr>
      <w:ind w:left="720"/>
      <w:contextualSpacing/>
    </w:pPr>
  </w:style>
  <w:style w:type="character" w:styleId="Hyperlink">
    <w:name w:val="Hyperlink"/>
    <w:basedOn w:val="DefaultParagraphFont"/>
    <w:uiPriority w:val="99"/>
    <w:unhideWhenUsed/>
    <w:rsid w:val="4C9258E6"/>
    <w:rPr>
      <w:color w:val="0563C1"/>
      <w:u w:val="single"/>
    </w:rPr>
  </w:style>
  <w:style w:type="character" w:styleId="author" w:customStyle="1">
    <w:name w:val="author"/>
    <w:basedOn w:val="DefaultParagraphFont"/>
    <w:uiPriority w:val="1"/>
    <w:rsid w:val="3A232ED9"/>
    <w:rPr>
      <w:rFonts w:asciiTheme="minorHAnsi" w:hAnsiTheme="minorHAnsi" w:eastAsiaTheme="minorEastAsia" w:cstheme="minorBidi"/>
      <w:sz w:val="24"/>
      <w:szCs w:val="24"/>
    </w:rPr>
  </w:style>
  <w:style w:type="character" w:styleId="articletitle" w:customStyle="1">
    <w:name w:val="articletitle"/>
    <w:basedOn w:val="DefaultParagraphFont"/>
    <w:uiPriority w:val="1"/>
    <w:rsid w:val="3A232ED9"/>
    <w:rPr>
      <w:rFonts w:asciiTheme="minorHAnsi" w:hAnsiTheme="minorHAnsi" w:eastAsiaTheme="minorEastAsia" w:cstheme="minorBidi"/>
      <w:sz w:val="24"/>
      <w:szCs w:val="24"/>
    </w:rPr>
  </w:style>
  <w:style w:type="character" w:styleId="pubyear" w:customStyle="1">
    <w:name w:val="pubyear"/>
    <w:basedOn w:val="DefaultParagraphFont"/>
    <w:uiPriority w:val="1"/>
    <w:rsid w:val="3A232ED9"/>
    <w:rPr>
      <w:rFonts w:asciiTheme="minorHAnsi" w:hAnsiTheme="minorHAnsi" w:eastAsiaTheme="minorEastAsia" w:cstheme="minorBidi"/>
      <w:sz w:val="24"/>
      <w:szCs w:val="24"/>
    </w:rPr>
  </w:style>
  <w:style w:type="character" w:styleId="vol" w:customStyle="1">
    <w:name w:val="vol"/>
    <w:basedOn w:val="DefaultParagraphFont"/>
    <w:uiPriority w:val="1"/>
    <w:rsid w:val="3A232ED9"/>
    <w:rPr>
      <w:rFonts w:asciiTheme="minorHAnsi" w:hAnsiTheme="minorHAnsi" w:eastAsiaTheme="minorEastAsia" w:cstheme="minorBidi"/>
      <w:sz w:val="24"/>
      <w:szCs w:val="24"/>
    </w:rPr>
  </w:style>
  <w:style w:type="character" w:styleId="pagefirst" w:customStyle="1">
    <w:name w:val="pagefirst"/>
    <w:basedOn w:val="DefaultParagraphFont"/>
    <w:uiPriority w:val="1"/>
    <w:rsid w:val="3A232ED9"/>
    <w:rPr>
      <w:rFonts w:asciiTheme="minorHAnsi" w:hAnsiTheme="minorHAnsi" w:eastAsiaTheme="minorEastAsia" w:cstheme="minorBidi"/>
      <w:sz w:val="24"/>
      <w:szCs w:val="24"/>
    </w:rPr>
  </w:style>
  <w:style w:type="character" w:styleId="pagelast" w:customStyle="1">
    <w:name w:val="pagelast"/>
    <w:basedOn w:val="DefaultParagraphFont"/>
    <w:uiPriority w:val="1"/>
    <w:rsid w:val="3A232ED9"/>
    <w:rPr>
      <w:rFonts w:asciiTheme="minorHAnsi" w:hAnsiTheme="minorHAnsi" w:eastAsiaTheme="minorEastAsia" w:cstheme="minorBidi"/>
      <w:sz w:val="24"/>
      <w:szCs w:val="24"/>
    </w:rPr>
  </w:style>
  <w:style w:type="paragraph" w:styleId="TOCHeading">
    <w:name w:val="TOC Heading"/>
    <w:basedOn w:val="Heading1"/>
    <w:next w:val="Normal"/>
    <w:uiPriority w:val="39"/>
    <w:unhideWhenUsed/>
    <w:qFormat/>
    <w:rsid w:val="006D1DE9"/>
    <w:pPr>
      <w:outlineLvl w:val="9"/>
    </w:pPr>
    <w:rPr>
      <w:lang w:val="en-US"/>
    </w:rPr>
  </w:style>
  <w:style w:type="paragraph" w:styleId="TOC1">
    <w:name w:val="toc 1"/>
    <w:basedOn w:val="Normal"/>
    <w:next w:val="Normal"/>
    <w:autoRedefine/>
    <w:uiPriority w:val="39"/>
    <w:unhideWhenUsed/>
    <w:rsid w:val="006D1DE9"/>
    <w:pPr>
      <w:spacing w:after="100" w:line="279" w:lineRule="auto"/>
    </w:pPr>
    <w:rPr>
      <w:rFonts w:eastAsiaTheme="minorEastAsia"/>
      <w:sz w:val="24"/>
      <w:szCs w:val="24"/>
      <w:lang w:eastAsia="ja-JP"/>
    </w:rPr>
  </w:style>
  <w:style w:type="paragraph" w:styleId="TOC2">
    <w:name w:val="toc 2"/>
    <w:basedOn w:val="Normal"/>
    <w:next w:val="Normal"/>
    <w:autoRedefine/>
    <w:uiPriority w:val="39"/>
    <w:unhideWhenUsed/>
    <w:rsid w:val="006D1DE9"/>
    <w:pPr>
      <w:spacing w:after="100" w:line="279" w:lineRule="auto"/>
      <w:ind w:left="240"/>
    </w:pPr>
    <w:rPr>
      <w:rFonts w:eastAsiaTheme="minorEastAsia"/>
      <w:sz w:val="24"/>
      <w:szCs w:val="24"/>
      <w:lang w:eastAsia="ja-JP"/>
    </w:rPr>
  </w:style>
  <w:style w:type="paragraph" w:styleId="TOC3">
    <w:name w:val="toc 3"/>
    <w:basedOn w:val="Normal"/>
    <w:next w:val="Normal"/>
    <w:autoRedefine/>
    <w:uiPriority w:val="39"/>
    <w:unhideWhenUsed/>
    <w:rsid w:val="006D1DE9"/>
    <w:pPr>
      <w:spacing w:after="100" w:line="279" w:lineRule="auto"/>
      <w:ind w:left="480"/>
    </w:pPr>
    <w:rPr>
      <w:rFonts w:eastAsiaTheme="minorEastAsia"/>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chart" Target="charts/chart1.xml" Id="rId18" /><Relationship Type="http://schemas.openxmlformats.org/officeDocument/2006/relationships/chart" Target="charts/chart8.xml" Id="rId26" /><Relationship Type="http://schemas.openxmlformats.org/officeDocument/2006/relationships/hyperlink" Target="https://www.carepatron.com/files/copenhagen-burnout-inventory.pdf" TargetMode="External" Id="rId39" /><Relationship Type="http://schemas.openxmlformats.org/officeDocument/2006/relationships/chart" Target="charts/chart4.xml" Id="rId21" /><Relationship Type="http://schemas.openxmlformats.org/officeDocument/2006/relationships/chart" Target="charts/chart16.xml" Id="rId34" /><Relationship Type="http://schemas.openxmlformats.org/officeDocument/2006/relationships/hyperlink" Target="https://www.bma.org.uk/pay-and-contracts/working-hours/work-schedule/rota-monitoring-for-resident-doctors-in-northern-ireland-scotland-and-wales%20Accessed%2017th%20September%202025"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chart" Target="charts/chart11.xml" Id="rId29" /><Relationship Type="http://schemas.openxmlformats.org/officeDocument/2006/relationships/image" Target="media/image1.png" Id="rId11" /><Relationship Type="http://schemas.openxmlformats.org/officeDocument/2006/relationships/chart" Target="charts/chart7.xml" Id="rId24" /><Relationship Type="http://schemas.openxmlformats.org/officeDocument/2006/relationships/chart" Target="charts/chart14.xml" Id="rId32" /><Relationship Type="http://schemas.openxmlformats.org/officeDocument/2006/relationships/hyperlink" Target="https://www.rcog.org.uk/media/kz0mhttl/workforce-report-2022.pdf" TargetMode="External" Id="rId37" /><Relationship Type="http://schemas.openxmlformats.org/officeDocument/2006/relationships/hyperlink" Target="https://www.gmc-uk.org/professional-standards/the-professional-standards/good-medical-practice/the-duties-of-medical-professionals-registered-with-the-gmc%20Accessed%2017th%20September%202025" TargetMode="External" Id="rId40" /><Relationship Type="http://schemas.openxmlformats.org/officeDocument/2006/relationships/image" Target="media/image9.png" Id="rId45"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chart" Target="charts/chart6.xml" Id="rId23" /><Relationship Type="http://schemas.openxmlformats.org/officeDocument/2006/relationships/hyperlink" Target="https://www.gmc-uk.org/-/media/documents/national-training-survey-2025-results-report-111657596.pdf"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chart" Target="charts/chart2.xml" Id="rId19" /><Relationship Type="http://schemas.openxmlformats.org/officeDocument/2006/relationships/chart" Target="charts/chart13.xml" Id="rId31" /><Relationship Type="http://schemas.openxmlformats.org/officeDocument/2006/relationships/hyperlink" Target="https://pmc.ncbi.nlm.nih.gov/articles/PMC7296586/"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chart" Target="charts/chart5.xml" Id="rId22" /><Relationship Type="http://schemas.openxmlformats.org/officeDocument/2006/relationships/chart" Target="charts/chart9.xml" Id="rId27" /><Relationship Type="http://schemas.openxmlformats.org/officeDocument/2006/relationships/hyperlink" Target="https://www.rcog.org.uk/careers-and-training/workforce/improving-workplace-behaviours/regional-workplace-behaviour-champions/" TargetMode="External" Id="rId35" /><Relationship Type="http://schemas.openxmlformats.org/officeDocument/2006/relationships/hyperlink" Target="https://qualitysafety.bmj.com/content/28/9/750.citation-tools" TargetMode="External" Id="rId43" /><Relationship Type="http://schemas.openxmlformats.org/officeDocument/2006/relationships/footer" Target="footer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image" Target="media/image2.png" Id="rId12" /><Relationship Type="http://schemas.openxmlformats.org/officeDocument/2006/relationships/image" Target="media/image7.png" Id="rId17" /><Relationship Type="http://schemas.openxmlformats.org/officeDocument/2006/relationships/image" Target="media/image8.png" Id="rId25" /><Relationship Type="http://schemas.openxmlformats.org/officeDocument/2006/relationships/chart" Target="charts/chart15.xml" Id="rId33" /><Relationship Type="http://schemas.openxmlformats.org/officeDocument/2006/relationships/hyperlink" Target="https://www.gmc-uk.org/-/media/documents/somep-workforce-report-2024-full-report_pdf-109169408.pdf" TargetMode="External" Id="rId38" /><Relationship Type="http://schemas.openxmlformats.org/officeDocument/2006/relationships/image" Target="media/image10.png" Id="rId46" /><Relationship Type="http://schemas.openxmlformats.org/officeDocument/2006/relationships/chart" Target="charts/chart3.xml" Id="rId20" /><Relationship Type="http://schemas.openxmlformats.org/officeDocument/2006/relationships/hyperlink" Target="https://www.bma.org.uk/pay-and-contracts/working-hours/work-schedule/exception-reporting-for-resident-doctors%20Accessed%2017th%20September%202025"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c.png" Id="rId577274539" /><Relationship Type="http://schemas.openxmlformats.org/officeDocument/2006/relationships/image" Target="/media/imaged.png" Id="rId130676699" /></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charts/_rels/chart1.xml.rels><?xml version="1.0" encoding="UTF-8" standalone="yes"?>
<Relationships xmlns="http://schemas.openxmlformats.org/package/2006/relationships"><Relationship Id="rId3" Type="http://schemas.openxmlformats.org/officeDocument/2006/relationships/oleObject" Target="file:///\\Users\rosietomlins\Desktop\Edited%20TEF%20data%20.xlsx" TargetMode="External"/><Relationship Id="rId2" Type="http://schemas.microsoft.com/office/2011/relationships/chartColorStyle" Target="colors1.xml"/><Relationship Id="rId1" Type="http://schemas.microsoft.com/office/2011/relationships/chartStyle" Target="style1.xml"/></Relationships>
</file>

<file path=word/charts/_rels/chart1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6.xml.rels><?xml version="1.0" encoding="UTF-8" standalone="yes"?>
<Relationships xmlns="http://schemas.openxmlformats.org/package/2006/relationships"><Relationship Id="rId3" Type="http://schemas.openxmlformats.org/officeDocument/2006/relationships/oleObject" Target="file:///C:\Users\zulfin\Downloads\TEF%20Data%202025%20-%20Burnout%20stats.xlsx" TargetMode="External"/><Relationship Id="rId2" Type="http://schemas.microsoft.com/office/2011/relationships/chartColorStyle" Target="colors7.xml"/><Relationship Id="rId1" Type="http://schemas.microsoft.com/office/2011/relationships/chartStyle" Target="style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zulfin\Downloads\Deanery_Frequency_Response_Counts.csv"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rosietomlins\Desktop\Edited%20TEF%20data%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rosietomlins\Desktop\Edited%20TEF%20data%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rosietomlins\Desktop\Edited%20TEF%20data%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ce67cd44ff935980/%5e.Documents/Edited%20TEF%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When</a:t>
            </a:r>
            <a:r>
              <a:rPr lang="en-GB" b="1" baseline="0"/>
              <a:t> do you find time to update your ePortfolio/ study for exams? </a:t>
            </a:r>
            <a:endParaRPr lang="en-GB"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1D8-4889-91A5-EDE1C4F2C72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1D8-4889-91A5-EDE1C4F2C72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1D8-4889-91A5-EDE1C4F2C72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1D8-4889-91A5-EDE1C4F2C72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01D8-4889-91A5-EDE1C4F2C72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01D8-4889-91A5-EDE1C4F2C72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'[Edited TEF data.xlsx]2.2'!$A$68:$A$73</c:f>
              <c:strCache>
                <c:ptCount val="6"/>
                <c:pt idx="0">
                  <c:v>Early morning </c:v>
                </c:pt>
                <c:pt idx="1">
                  <c:v>During the working week </c:v>
                </c:pt>
                <c:pt idx="2">
                  <c:v>Designated SL time</c:v>
                </c:pt>
                <c:pt idx="3">
                  <c:v>Evenings</c:v>
                </c:pt>
                <c:pt idx="4">
                  <c:v>Weekends</c:v>
                </c:pt>
                <c:pt idx="5">
                  <c:v>Annual Leave </c:v>
                </c:pt>
              </c:strCache>
            </c:strRef>
          </c:cat>
          <c:val>
            <c:numRef>
              <c:f>'[Edited TEF data.xlsx]2.2'!$D$68:$D$73</c:f>
              <c:numCache>
                <c:formatCode>General</c:formatCode>
                <c:ptCount val="6"/>
                <c:pt idx="0">
                  <c:v>2.7</c:v>
                </c:pt>
                <c:pt idx="1">
                  <c:v>5.7</c:v>
                </c:pt>
                <c:pt idx="2">
                  <c:v>2.8</c:v>
                </c:pt>
                <c:pt idx="3">
                  <c:v>31.7</c:v>
                </c:pt>
                <c:pt idx="4">
                  <c:v>40.6</c:v>
                </c:pt>
                <c:pt idx="5">
                  <c:v>16.5</c:v>
                </c:pt>
              </c:numCache>
            </c:numRef>
          </c:val>
          <c:extLst>
            <c:ext xmlns:c16="http://schemas.microsoft.com/office/drawing/2014/chart" uri="{C3380CC4-5D6E-409C-BE32-E72D297353CC}">
              <c16:uniqueId val="{0000000C-01D8-4889-91A5-EDE1C4F2C72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Strongly disagree/Disagree</c:v>
          </c:tx>
          <c:spPr>
            <a:solidFill>
              <a:srgbClr val="156082"/>
            </a:solidFill>
            <a:ln>
              <a:noFill/>
            </a:ln>
          </c:spPr>
          <c:invertIfNegative val="0"/>
          <c:cat>
            <c:strLit>
              <c:ptCount val="3"/>
              <c:pt idx="0">
                <c:v>Low</c:v>
              </c:pt>
              <c:pt idx="1">
                <c:v>Moderate</c:v>
              </c:pt>
              <c:pt idx="2">
                <c:v>High</c:v>
              </c:pt>
            </c:strLit>
          </c:cat>
          <c:val>
            <c:numLit>
              <c:formatCode>General</c:formatCode>
              <c:ptCount val="3"/>
              <c:pt idx="0">
                <c:v>1.7605633802816902E-2</c:v>
              </c:pt>
              <c:pt idx="1">
                <c:v>2.8073572120038724E-2</c:v>
              </c:pt>
              <c:pt idx="2">
                <c:v>7.7639751552795025E-2</c:v>
              </c:pt>
            </c:numLit>
          </c:val>
          <c:extLst>
            <c:ext xmlns:c16="http://schemas.microsoft.com/office/drawing/2014/chart" uri="{C3380CC4-5D6E-409C-BE32-E72D297353CC}">
              <c16:uniqueId val="{00000000-3EBC-4021-ADFC-4762D5097EE5}"/>
            </c:ext>
          </c:extLst>
        </c:ser>
        <c:ser>
          <c:idx val="1"/>
          <c:order val="1"/>
          <c:tx>
            <c:v>Neither agree nor disagree</c:v>
          </c:tx>
          <c:spPr>
            <a:solidFill>
              <a:srgbClr val="E97132"/>
            </a:solidFill>
            <a:ln>
              <a:noFill/>
            </a:ln>
          </c:spPr>
          <c:invertIfNegative val="0"/>
          <c:cat>
            <c:strLit>
              <c:ptCount val="3"/>
              <c:pt idx="0">
                <c:v>Low</c:v>
              </c:pt>
              <c:pt idx="1">
                <c:v>Moderate</c:v>
              </c:pt>
              <c:pt idx="2">
                <c:v>High</c:v>
              </c:pt>
            </c:strLit>
          </c:cat>
          <c:val>
            <c:numLit>
              <c:formatCode>General</c:formatCode>
              <c:ptCount val="3"/>
              <c:pt idx="0">
                <c:v>8.098591549295775E-2</c:v>
              </c:pt>
              <c:pt idx="1">
                <c:v>0.12487899322362052</c:v>
              </c:pt>
              <c:pt idx="2">
                <c:v>0.15217391304347827</c:v>
              </c:pt>
            </c:numLit>
          </c:val>
          <c:extLst>
            <c:ext xmlns:c16="http://schemas.microsoft.com/office/drawing/2014/chart" uri="{C3380CC4-5D6E-409C-BE32-E72D297353CC}">
              <c16:uniqueId val="{00000001-3EBC-4021-ADFC-4762D5097EE5}"/>
            </c:ext>
          </c:extLst>
        </c:ser>
        <c:ser>
          <c:idx val="2"/>
          <c:order val="2"/>
          <c:tx>
            <c:v>Strongly agree/Agree</c:v>
          </c:tx>
          <c:spPr>
            <a:solidFill>
              <a:srgbClr val="196B24"/>
            </a:solidFill>
            <a:ln>
              <a:noFill/>
            </a:ln>
          </c:spPr>
          <c:invertIfNegative val="0"/>
          <c:cat>
            <c:strLit>
              <c:ptCount val="3"/>
              <c:pt idx="0">
                <c:v>Low</c:v>
              </c:pt>
              <c:pt idx="1">
                <c:v>Moderate</c:v>
              </c:pt>
              <c:pt idx="2">
                <c:v>High</c:v>
              </c:pt>
            </c:strLit>
          </c:cat>
          <c:val>
            <c:numLit>
              <c:formatCode>General</c:formatCode>
              <c:ptCount val="3"/>
              <c:pt idx="0">
                <c:v>0.90140845070422537</c:v>
              </c:pt>
              <c:pt idx="1">
                <c:v>0.8470474346563408</c:v>
              </c:pt>
              <c:pt idx="2">
                <c:v>0.77018633540372672</c:v>
              </c:pt>
            </c:numLit>
          </c:val>
          <c:extLst>
            <c:ext xmlns:c16="http://schemas.microsoft.com/office/drawing/2014/chart" uri="{C3380CC4-5D6E-409C-BE32-E72D297353CC}">
              <c16:uniqueId val="{00000002-3EBC-4021-ADFC-4762D5097EE5}"/>
            </c:ext>
          </c:extLst>
        </c:ser>
        <c:dLbls>
          <c:showLegendKey val="0"/>
          <c:showVal val="0"/>
          <c:showCatName val="0"/>
          <c:showSerName val="0"/>
          <c:showPercent val="0"/>
          <c:showBubbleSize val="0"/>
        </c:dLbls>
        <c:gapWidth val="219"/>
        <c:overlap val="-27"/>
        <c:axId val="359040224"/>
        <c:axId val="359032544"/>
      </c:barChart>
      <c:valAx>
        <c:axId val="359032544"/>
        <c:scaling>
          <c:orientation val="minMax"/>
        </c:scaling>
        <c:delete val="0"/>
        <c:axPos val="l"/>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40224"/>
        <c:crosses val="autoZero"/>
        <c:crossBetween val="between"/>
      </c:valAx>
      <c:catAx>
        <c:axId val="359040224"/>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3254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Strongly agree</c:v>
          </c:tx>
          <c:spPr>
            <a:solidFill>
              <a:srgbClr val="156082"/>
            </a:solidFill>
            <a:ln>
              <a:noFill/>
            </a:ln>
          </c:spPr>
          <c:invertIfNegative val="0"/>
          <c:cat>
            <c:strLit>
              <c:ptCount val="3"/>
              <c:pt idx="0">
                <c:v>Low</c:v>
              </c:pt>
              <c:pt idx="1">
                <c:v>Moderate</c:v>
              </c:pt>
              <c:pt idx="2">
                <c:v>High</c:v>
              </c:pt>
            </c:strLit>
          </c:cat>
          <c:val>
            <c:numLit>
              <c:formatCode>General</c:formatCode>
              <c:ptCount val="3"/>
              <c:pt idx="0">
                <c:v>0</c:v>
              </c:pt>
              <c:pt idx="1">
                <c:v>0</c:v>
              </c:pt>
              <c:pt idx="2">
                <c:v>7.0422535211267607E-3</c:v>
              </c:pt>
            </c:numLit>
          </c:val>
          <c:extLst>
            <c:ext xmlns:c16="http://schemas.microsoft.com/office/drawing/2014/chart" uri="{C3380CC4-5D6E-409C-BE32-E72D297353CC}">
              <c16:uniqueId val="{00000000-6BA4-40ED-BAE5-A2992147DAAF}"/>
            </c:ext>
          </c:extLst>
        </c:ser>
        <c:ser>
          <c:idx val="1"/>
          <c:order val="1"/>
          <c:tx>
            <c:v>Agree</c:v>
          </c:tx>
          <c:spPr>
            <a:solidFill>
              <a:srgbClr val="E97132"/>
            </a:solidFill>
            <a:ln>
              <a:noFill/>
            </a:ln>
          </c:spPr>
          <c:invertIfNegative val="0"/>
          <c:cat>
            <c:strLit>
              <c:ptCount val="3"/>
              <c:pt idx="0">
                <c:v>Low</c:v>
              </c:pt>
              <c:pt idx="1">
                <c:v>Moderate</c:v>
              </c:pt>
              <c:pt idx="2">
                <c:v>High</c:v>
              </c:pt>
            </c:strLit>
          </c:cat>
          <c:val>
            <c:numLit>
              <c:formatCode>General</c:formatCode>
              <c:ptCount val="3"/>
              <c:pt idx="0">
                <c:v>2.2123893805309734E-3</c:v>
              </c:pt>
              <c:pt idx="1">
                <c:v>1.8480492813141684E-2</c:v>
              </c:pt>
              <c:pt idx="2">
                <c:v>1.4084507042253521E-2</c:v>
              </c:pt>
            </c:numLit>
          </c:val>
          <c:extLst>
            <c:ext xmlns:c16="http://schemas.microsoft.com/office/drawing/2014/chart" uri="{C3380CC4-5D6E-409C-BE32-E72D297353CC}">
              <c16:uniqueId val="{00000001-6BA4-40ED-BAE5-A2992147DAAF}"/>
            </c:ext>
          </c:extLst>
        </c:ser>
        <c:ser>
          <c:idx val="2"/>
          <c:order val="2"/>
          <c:tx>
            <c:v>Neither agree nor disagree</c:v>
          </c:tx>
          <c:spPr>
            <a:solidFill>
              <a:srgbClr val="196B24"/>
            </a:solidFill>
            <a:ln>
              <a:noFill/>
            </a:ln>
          </c:spPr>
          <c:invertIfNegative val="0"/>
          <c:cat>
            <c:strLit>
              <c:ptCount val="3"/>
              <c:pt idx="0">
                <c:v>Low</c:v>
              </c:pt>
              <c:pt idx="1">
                <c:v>Moderate</c:v>
              </c:pt>
              <c:pt idx="2">
                <c:v>High</c:v>
              </c:pt>
            </c:strLit>
          </c:cat>
          <c:val>
            <c:numLit>
              <c:formatCode>General</c:formatCode>
              <c:ptCount val="3"/>
              <c:pt idx="0">
                <c:v>6.6371681415929203E-3</c:v>
              </c:pt>
              <c:pt idx="1">
                <c:v>1.0266940451745379E-2</c:v>
              </c:pt>
              <c:pt idx="2">
                <c:v>7.0422535211267607E-3</c:v>
              </c:pt>
            </c:numLit>
          </c:val>
          <c:extLst>
            <c:ext xmlns:c16="http://schemas.microsoft.com/office/drawing/2014/chart" uri="{C3380CC4-5D6E-409C-BE32-E72D297353CC}">
              <c16:uniqueId val="{00000002-6BA4-40ED-BAE5-A2992147DAAF}"/>
            </c:ext>
          </c:extLst>
        </c:ser>
        <c:ser>
          <c:idx val="3"/>
          <c:order val="3"/>
          <c:tx>
            <c:v>Disagree</c:v>
          </c:tx>
          <c:spPr>
            <a:solidFill>
              <a:srgbClr val="0F9ED5"/>
            </a:solidFill>
            <a:ln>
              <a:noFill/>
            </a:ln>
          </c:spPr>
          <c:invertIfNegative val="0"/>
          <c:cat>
            <c:strLit>
              <c:ptCount val="3"/>
              <c:pt idx="0">
                <c:v>Low</c:v>
              </c:pt>
              <c:pt idx="1">
                <c:v>Moderate</c:v>
              </c:pt>
              <c:pt idx="2">
                <c:v>High</c:v>
              </c:pt>
            </c:strLit>
          </c:cat>
          <c:val>
            <c:numLit>
              <c:formatCode>General</c:formatCode>
              <c:ptCount val="3"/>
              <c:pt idx="0">
                <c:v>0.19026548672566371</c:v>
              </c:pt>
              <c:pt idx="1">
                <c:v>0.25667351129363447</c:v>
              </c:pt>
              <c:pt idx="2">
                <c:v>0.24647887323943662</c:v>
              </c:pt>
            </c:numLit>
          </c:val>
          <c:extLst>
            <c:ext xmlns:c16="http://schemas.microsoft.com/office/drawing/2014/chart" uri="{C3380CC4-5D6E-409C-BE32-E72D297353CC}">
              <c16:uniqueId val="{00000003-6BA4-40ED-BAE5-A2992147DAAF}"/>
            </c:ext>
          </c:extLst>
        </c:ser>
        <c:ser>
          <c:idx val="4"/>
          <c:order val="4"/>
          <c:tx>
            <c:v>Strongly disagree</c:v>
          </c:tx>
          <c:spPr>
            <a:solidFill>
              <a:srgbClr val="A02B93"/>
            </a:solidFill>
            <a:ln>
              <a:noFill/>
            </a:ln>
          </c:spPr>
          <c:invertIfNegative val="0"/>
          <c:cat>
            <c:strLit>
              <c:ptCount val="3"/>
              <c:pt idx="0">
                <c:v>Low</c:v>
              </c:pt>
              <c:pt idx="1">
                <c:v>Moderate</c:v>
              </c:pt>
              <c:pt idx="2">
                <c:v>High</c:v>
              </c:pt>
            </c:strLit>
          </c:cat>
          <c:val>
            <c:numLit>
              <c:formatCode>General</c:formatCode>
              <c:ptCount val="3"/>
              <c:pt idx="0">
                <c:v>0.80088495575221241</c:v>
              </c:pt>
              <c:pt idx="1">
                <c:v>0.71457905544147848</c:v>
              </c:pt>
              <c:pt idx="2">
                <c:v>0.72535211267605637</c:v>
              </c:pt>
            </c:numLit>
          </c:val>
          <c:extLst>
            <c:ext xmlns:c16="http://schemas.microsoft.com/office/drawing/2014/chart" uri="{C3380CC4-5D6E-409C-BE32-E72D297353CC}">
              <c16:uniqueId val="{00000004-6BA4-40ED-BAE5-A2992147DAAF}"/>
            </c:ext>
          </c:extLst>
        </c:ser>
        <c:dLbls>
          <c:showLegendKey val="0"/>
          <c:showVal val="0"/>
          <c:showCatName val="0"/>
          <c:showSerName val="0"/>
          <c:showPercent val="0"/>
          <c:showBubbleSize val="0"/>
        </c:dLbls>
        <c:gapWidth val="219"/>
        <c:overlap val="-27"/>
        <c:axId val="359028704"/>
        <c:axId val="359031104"/>
      </c:barChart>
      <c:valAx>
        <c:axId val="359031104"/>
        <c:scaling>
          <c:orientation val="minMax"/>
        </c:scaling>
        <c:delete val="0"/>
        <c:axPos val="l"/>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28704"/>
        <c:crosses val="autoZero"/>
        <c:crossBetween val="between"/>
      </c:valAx>
      <c:catAx>
        <c:axId val="359028704"/>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3110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Strongly agree</c:v>
          </c:tx>
          <c:spPr>
            <a:solidFill>
              <a:srgbClr val="156082"/>
            </a:solidFill>
            <a:ln>
              <a:noFill/>
            </a:ln>
          </c:spPr>
          <c:invertIfNegative val="0"/>
          <c:cat>
            <c:strLit>
              <c:ptCount val="3"/>
              <c:pt idx="0">
                <c:v>Low</c:v>
              </c:pt>
              <c:pt idx="1">
                <c:v>Moderate</c:v>
              </c:pt>
              <c:pt idx="2">
                <c:v>High</c:v>
              </c:pt>
            </c:strLit>
          </c:cat>
          <c:val>
            <c:numLit>
              <c:formatCode>General</c:formatCode>
              <c:ptCount val="3"/>
              <c:pt idx="0">
                <c:v>0</c:v>
              </c:pt>
              <c:pt idx="1">
                <c:v>0</c:v>
              </c:pt>
              <c:pt idx="2">
                <c:v>7.0422535211267607E-3</c:v>
              </c:pt>
            </c:numLit>
          </c:val>
          <c:extLst>
            <c:ext xmlns:c16="http://schemas.microsoft.com/office/drawing/2014/chart" uri="{C3380CC4-5D6E-409C-BE32-E72D297353CC}">
              <c16:uniqueId val="{00000000-8B10-414F-BFFC-AFA35DB40FF0}"/>
            </c:ext>
          </c:extLst>
        </c:ser>
        <c:ser>
          <c:idx val="1"/>
          <c:order val="1"/>
          <c:tx>
            <c:v>Agree</c:v>
          </c:tx>
          <c:spPr>
            <a:solidFill>
              <a:srgbClr val="E97132"/>
            </a:solidFill>
            <a:ln>
              <a:noFill/>
            </a:ln>
          </c:spPr>
          <c:invertIfNegative val="0"/>
          <c:cat>
            <c:strLit>
              <c:ptCount val="3"/>
              <c:pt idx="0">
                <c:v>Low</c:v>
              </c:pt>
              <c:pt idx="1">
                <c:v>Moderate</c:v>
              </c:pt>
              <c:pt idx="2">
                <c:v>High</c:v>
              </c:pt>
            </c:strLit>
          </c:cat>
          <c:val>
            <c:numLit>
              <c:formatCode>General</c:formatCode>
              <c:ptCount val="3"/>
              <c:pt idx="0">
                <c:v>2.2222222222222222E-3</c:v>
              </c:pt>
              <c:pt idx="1">
                <c:v>2.0618556701030928E-3</c:v>
              </c:pt>
              <c:pt idx="2">
                <c:v>2.1126760563380281E-2</c:v>
              </c:pt>
            </c:numLit>
          </c:val>
          <c:extLst>
            <c:ext xmlns:c16="http://schemas.microsoft.com/office/drawing/2014/chart" uri="{C3380CC4-5D6E-409C-BE32-E72D297353CC}">
              <c16:uniqueId val="{00000001-8B10-414F-BFFC-AFA35DB40FF0}"/>
            </c:ext>
          </c:extLst>
        </c:ser>
        <c:ser>
          <c:idx val="2"/>
          <c:order val="2"/>
          <c:tx>
            <c:v>Neither agree nor disagree</c:v>
          </c:tx>
          <c:spPr>
            <a:solidFill>
              <a:srgbClr val="196B24"/>
            </a:solidFill>
            <a:ln>
              <a:noFill/>
            </a:ln>
          </c:spPr>
          <c:invertIfNegative val="0"/>
          <c:cat>
            <c:strLit>
              <c:ptCount val="3"/>
              <c:pt idx="0">
                <c:v>Low</c:v>
              </c:pt>
              <c:pt idx="1">
                <c:v>Moderate</c:v>
              </c:pt>
              <c:pt idx="2">
                <c:v>High</c:v>
              </c:pt>
            </c:strLit>
          </c:cat>
          <c:val>
            <c:numLit>
              <c:formatCode>General</c:formatCode>
              <c:ptCount val="3"/>
              <c:pt idx="0">
                <c:v>4.4444444444444444E-3</c:v>
              </c:pt>
              <c:pt idx="1">
                <c:v>6.1855670103092781E-3</c:v>
              </c:pt>
              <c:pt idx="2">
                <c:v>0</c:v>
              </c:pt>
            </c:numLit>
          </c:val>
          <c:extLst>
            <c:ext xmlns:c16="http://schemas.microsoft.com/office/drawing/2014/chart" uri="{C3380CC4-5D6E-409C-BE32-E72D297353CC}">
              <c16:uniqueId val="{00000002-8B10-414F-BFFC-AFA35DB40FF0}"/>
            </c:ext>
          </c:extLst>
        </c:ser>
        <c:ser>
          <c:idx val="3"/>
          <c:order val="3"/>
          <c:tx>
            <c:v>Disagree</c:v>
          </c:tx>
          <c:spPr>
            <a:solidFill>
              <a:srgbClr val="0F9ED5"/>
            </a:solidFill>
            <a:ln>
              <a:noFill/>
            </a:ln>
          </c:spPr>
          <c:invertIfNegative val="0"/>
          <c:cat>
            <c:strLit>
              <c:ptCount val="3"/>
              <c:pt idx="0">
                <c:v>Low</c:v>
              </c:pt>
              <c:pt idx="1">
                <c:v>Moderate</c:v>
              </c:pt>
              <c:pt idx="2">
                <c:v>High</c:v>
              </c:pt>
            </c:strLit>
          </c:cat>
          <c:val>
            <c:numLit>
              <c:formatCode>General</c:formatCode>
              <c:ptCount val="3"/>
              <c:pt idx="0">
                <c:v>0.16444444444444445</c:v>
              </c:pt>
              <c:pt idx="1">
                <c:v>0.20824742268041238</c:v>
              </c:pt>
              <c:pt idx="2">
                <c:v>0.21126760563380281</c:v>
              </c:pt>
            </c:numLit>
          </c:val>
          <c:extLst>
            <c:ext xmlns:c16="http://schemas.microsoft.com/office/drawing/2014/chart" uri="{C3380CC4-5D6E-409C-BE32-E72D297353CC}">
              <c16:uniqueId val="{00000003-8B10-414F-BFFC-AFA35DB40FF0}"/>
            </c:ext>
          </c:extLst>
        </c:ser>
        <c:ser>
          <c:idx val="4"/>
          <c:order val="4"/>
          <c:tx>
            <c:v>Strongly disagree</c:v>
          </c:tx>
          <c:spPr>
            <a:solidFill>
              <a:srgbClr val="A02B93"/>
            </a:solidFill>
            <a:ln>
              <a:noFill/>
            </a:ln>
          </c:spPr>
          <c:invertIfNegative val="0"/>
          <c:cat>
            <c:strLit>
              <c:ptCount val="3"/>
              <c:pt idx="0">
                <c:v>Low</c:v>
              </c:pt>
              <c:pt idx="1">
                <c:v>Moderate</c:v>
              </c:pt>
              <c:pt idx="2">
                <c:v>High</c:v>
              </c:pt>
            </c:strLit>
          </c:cat>
          <c:val>
            <c:numLit>
              <c:formatCode>General</c:formatCode>
              <c:ptCount val="3"/>
              <c:pt idx="0">
                <c:v>0.8288888888888889</c:v>
              </c:pt>
              <c:pt idx="1">
                <c:v>0.78350515463917525</c:v>
              </c:pt>
              <c:pt idx="2">
                <c:v>0.76056338028169013</c:v>
              </c:pt>
            </c:numLit>
          </c:val>
          <c:extLst>
            <c:ext xmlns:c16="http://schemas.microsoft.com/office/drawing/2014/chart" uri="{C3380CC4-5D6E-409C-BE32-E72D297353CC}">
              <c16:uniqueId val="{00000004-8B10-414F-BFFC-AFA35DB40FF0}"/>
            </c:ext>
          </c:extLst>
        </c:ser>
        <c:dLbls>
          <c:showLegendKey val="0"/>
          <c:showVal val="0"/>
          <c:showCatName val="0"/>
          <c:showSerName val="0"/>
          <c:showPercent val="0"/>
          <c:showBubbleSize val="0"/>
        </c:dLbls>
        <c:gapWidth val="219"/>
        <c:overlap val="-27"/>
        <c:axId val="359047424"/>
        <c:axId val="359046944"/>
      </c:barChart>
      <c:valAx>
        <c:axId val="359046944"/>
        <c:scaling>
          <c:orientation val="minMax"/>
        </c:scaling>
        <c:delete val="0"/>
        <c:axPos val="l"/>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47424"/>
        <c:crosses val="autoZero"/>
        <c:crossBetween val="between"/>
      </c:valAx>
      <c:catAx>
        <c:axId val="359047424"/>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4694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v>Low</c:v>
          </c:tx>
          <c:spPr>
            <a:solidFill>
              <a:srgbClr val="156082"/>
            </a:solidFill>
            <a:ln>
              <a:noFill/>
            </a:ln>
          </c:spPr>
          <c:invertIfNegative val="0"/>
          <c:cat>
            <c:strLit>
              <c:ptCount val="3"/>
              <c:pt idx="0">
                <c:v>Strongly disagree/disagree</c:v>
              </c:pt>
              <c:pt idx="1">
                <c:v>Neither agree nor disagree</c:v>
              </c:pt>
              <c:pt idx="2">
                <c:v>Strongly agree/Agree</c:v>
              </c:pt>
            </c:strLit>
          </c:cat>
          <c:val>
            <c:numLit>
              <c:formatCode>General</c:formatCode>
              <c:ptCount val="3"/>
              <c:pt idx="0">
                <c:v>0.71126760563380287</c:v>
              </c:pt>
              <c:pt idx="1">
                <c:v>0.18896713615023475</c:v>
              </c:pt>
              <c:pt idx="2">
                <c:v>9.9765258215962438E-2</c:v>
              </c:pt>
            </c:numLit>
          </c:val>
          <c:extLst>
            <c:ext xmlns:c16="http://schemas.microsoft.com/office/drawing/2014/chart" uri="{C3380CC4-5D6E-409C-BE32-E72D297353CC}">
              <c16:uniqueId val="{00000000-C2B9-4A5D-9915-59CBB5464E0D}"/>
            </c:ext>
          </c:extLst>
        </c:ser>
        <c:ser>
          <c:idx val="1"/>
          <c:order val="1"/>
          <c:tx>
            <c:v>Moderate</c:v>
          </c:tx>
          <c:spPr>
            <a:solidFill>
              <a:srgbClr val="E97132"/>
            </a:solidFill>
            <a:ln>
              <a:noFill/>
            </a:ln>
          </c:spPr>
          <c:invertIfNegative val="0"/>
          <c:cat>
            <c:strLit>
              <c:ptCount val="3"/>
              <c:pt idx="0">
                <c:v>Strongly disagree/disagree</c:v>
              </c:pt>
              <c:pt idx="1">
                <c:v>Neither agree nor disagree</c:v>
              </c:pt>
              <c:pt idx="2">
                <c:v>Strongly agree/Agree</c:v>
              </c:pt>
            </c:strLit>
          </c:cat>
          <c:val>
            <c:numLit>
              <c:formatCode>General</c:formatCode>
              <c:ptCount val="3"/>
              <c:pt idx="0">
                <c:v>0.46466602129719264</c:v>
              </c:pt>
              <c:pt idx="1">
                <c:v>0.24878993223620524</c:v>
              </c:pt>
              <c:pt idx="2">
                <c:v>0.28654404646660214</c:v>
              </c:pt>
            </c:numLit>
          </c:val>
          <c:extLst>
            <c:ext xmlns:c16="http://schemas.microsoft.com/office/drawing/2014/chart" uri="{C3380CC4-5D6E-409C-BE32-E72D297353CC}">
              <c16:uniqueId val="{00000001-C2B9-4A5D-9915-59CBB5464E0D}"/>
            </c:ext>
          </c:extLst>
        </c:ser>
        <c:ser>
          <c:idx val="2"/>
          <c:order val="2"/>
          <c:tx>
            <c:v>High</c:v>
          </c:tx>
          <c:spPr>
            <a:solidFill>
              <a:srgbClr val="196B24"/>
            </a:solidFill>
            <a:ln>
              <a:noFill/>
            </a:ln>
          </c:spPr>
          <c:invertIfNegative val="0"/>
          <c:cat>
            <c:strLit>
              <c:ptCount val="3"/>
              <c:pt idx="0">
                <c:v>Strongly disagree/disagree</c:v>
              </c:pt>
              <c:pt idx="1">
                <c:v>Neither agree nor disagree</c:v>
              </c:pt>
              <c:pt idx="2">
                <c:v>Strongly agree/Agree</c:v>
              </c:pt>
            </c:strLit>
          </c:cat>
          <c:val>
            <c:numLit>
              <c:formatCode>General</c:formatCode>
              <c:ptCount val="3"/>
              <c:pt idx="0">
                <c:v>0.30434782608695654</c:v>
              </c:pt>
              <c:pt idx="1">
                <c:v>0.20496894409937888</c:v>
              </c:pt>
              <c:pt idx="2">
                <c:v>0.49068322981366458</c:v>
              </c:pt>
            </c:numLit>
          </c:val>
          <c:extLst>
            <c:ext xmlns:c16="http://schemas.microsoft.com/office/drawing/2014/chart" uri="{C3380CC4-5D6E-409C-BE32-E72D297353CC}">
              <c16:uniqueId val="{00000002-C2B9-4A5D-9915-59CBB5464E0D}"/>
            </c:ext>
          </c:extLst>
        </c:ser>
        <c:dLbls>
          <c:showLegendKey val="0"/>
          <c:showVal val="0"/>
          <c:showCatName val="0"/>
          <c:showSerName val="0"/>
          <c:showPercent val="0"/>
          <c:showBubbleSize val="0"/>
        </c:dLbls>
        <c:gapWidth val="182"/>
        <c:axId val="393351760"/>
        <c:axId val="354353680"/>
      </c:barChart>
      <c:valAx>
        <c:axId val="354353680"/>
        <c:scaling>
          <c:orientation val="minMax"/>
        </c:scaling>
        <c:delete val="0"/>
        <c:axPos val="b"/>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93351760"/>
        <c:crosses val="autoZero"/>
        <c:crossBetween val="between"/>
      </c:valAx>
      <c:catAx>
        <c:axId val="393351760"/>
        <c:scaling>
          <c:orientation val="minMax"/>
        </c:scaling>
        <c:delete val="0"/>
        <c:axPos val="l"/>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4353680"/>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492727668969192E-2"/>
          <c:y val="9.123622047244094E-2"/>
          <c:w val="0.88603310424347248"/>
          <c:h val="0.73759362838265907"/>
        </c:manualLayout>
      </c:layout>
      <c:barChart>
        <c:barDir val="col"/>
        <c:grouping val="clustered"/>
        <c:varyColors val="0"/>
        <c:ser>
          <c:idx val="0"/>
          <c:order val="0"/>
          <c:tx>
            <c:strRef>
              <c:f>'Q. 2.1'!$B$10</c:f>
              <c:strCache>
                <c:ptCount val="1"/>
                <c:pt idx="0">
                  <c:v>No</c:v>
                </c:pt>
              </c:strCache>
            </c:strRef>
          </c:tx>
          <c:spPr>
            <a:solidFill>
              <a:schemeClr val="accent1"/>
            </a:solidFill>
            <a:ln>
              <a:noFill/>
            </a:ln>
            <a:effectLst/>
          </c:spPr>
          <c:invertIfNegative val="0"/>
          <c:cat>
            <c:strRef>
              <c:f>'Q. 2.1'!$A$11:$A$13</c:f>
              <c:strCache>
                <c:ptCount val="3"/>
                <c:pt idx="0">
                  <c:v>Low</c:v>
                </c:pt>
                <c:pt idx="1">
                  <c:v>Moderate</c:v>
                </c:pt>
                <c:pt idx="2">
                  <c:v>High</c:v>
                </c:pt>
              </c:strCache>
            </c:strRef>
          </c:cat>
          <c:val>
            <c:numRef>
              <c:f>'Q. 2.1'!$B$11:$B$13</c:f>
              <c:numCache>
                <c:formatCode>0%</c:formatCode>
                <c:ptCount val="3"/>
                <c:pt idx="0">
                  <c:v>0.46126760563380281</c:v>
                </c:pt>
                <c:pt idx="1">
                  <c:v>0.3601161665053243</c:v>
                </c:pt>
                <c:pt idx="2">
                  <c:v>0.27639751552795033</c:v>
                </c:pt>
              </c:numCache>
            </c:numRef>
          </c:val>
          <c:extLst>
            <c:ext xmlns:c16="http://schemas.microsoft.com/office/drawing/2014/chart" uri="{C3380CC4-5D6E-409C-BE32-E72D297353CC}">
              <c16:uniqueId val="{00000000-581F-457C-B925-94A99CF50816}"/>
            </c:ext>
          </c:extLst>
        </c:ser>
        <c:ser>
          <c:idx val="1"/>
          <c:order val="1"/>
          <c:tx>
            <c:strRef>
              <c:f>'Q. 2.1'!$C$10</c:f>
              <c:strCache>
                <c:ptCount val="1"/>
                <c:pt idx="0">
                  <c:v>Yes</c:v>
                </c:pt>
              </c:strCache>
            </c:strRef>
          </c:tx>
          <c:spPr>
            <a:solidFill>
              <a:schemeClr val="accent2"/>
            </a:solidFill>
            <a:ln>
              <a:noFill/>
            </a:ln>
            <a:effectLst/>
          </c:spPr>
          <c:invertIfNegative val="0"/>
          <c:cat>
            <c:strRef>
              <c:f>'Q. 2.1'!$A$11:$A$13</c:f>
              <c:strCache>
                <c:ptCount val="3"/>
                <c:pt idx="0">
                  <c:v>Low</c:v>
                </c:pt>
                <c:pt idx="1">
                  <c:v>Moderate</c:v>
                </c:pt>
                <c:pt idx="2">
                  <c:v>High</c:v>
                </c:pt>
              </c:strCache>
            </c:strRef>
          </c:cat>
          <c:val>
            <c:numRef>
              <c:f>'Q. 2.1'!$C$11:$C$13</c:f>
              <c:numCache>
                <c:formatCode>0%</c:formatCode>
                <c:ptCount val="3"/>
                <c:pt idx="0">
                  <c:v>0.38145539906103287</c:v>
                </c:pt>
                <c:pt idx="1">
                  <c:v>0.4849951597289448</c:v>
                </c:pt>
                <c:pt idx="2">
                  <c:v>0.59316770186335399</c:v>
                </c:pt>
              </c:numCache>
            </c:numRef>
          </c:val>
          <c:extLst>
            <c:ext xmlns:c16="http://schemas.microsoft.com/office/drawing/2014/chart" uri="{C3380CC4-5D6E-409C-BE32-E72D297353CC}">
              <c16:uniqueId val="{00000001-581F-457C-B925-94A99CF50816}"/>
            </c:ext>
          </c:extLst>
        </c:ser>
        <c:ser>
          <c:idx val="2"/>
          <c:order val="2"/>
          <c:tx>
            <c:strRef>
              <c:f>'Q. 2.1'!$D$10</c:f>
              <c:strCache>
                <c:ptCount val="1"/>
                <c:pt idx="0">
                  <c:v>Don't know</c:v>
                </c:pt>
              </c:strCache>
            </c:strRef>
          </c:tx>
          <c:spPr>
            <a:solidFill>
              <a:schemeClr val="accent3"/>
            </a:solidFill>
            <a:ln>
              <a:noFill/>
            </a:ln>
            <a:effectLst/>
          </c:spPr>
          <c:invertIfNegative val="0"/>
          <c:cat>
            <c:strRef>
              <c:f>'Q. 2.1'!$A$11:$A$13</c:f>
              <c:strCache>
                <c:ptCount val="3"/>
                <c:pt idx="0">
                  <c:v>Low</c:v>
                </c:pt>
                <c:pt idx="1">
                  <c:v>Moderate</c:v>
                </c:pt>
                <c:pt idx="2">
                  <c:v>High</c:v>
                </c:pt>
              </c:strCache>
            </c:strRef>
          </c:cat>
          <c:val>
            <c:numRef>
              <c:f>'Q. 2.1'!$D$11:$D$13</c:f>
              <c:numCache>
                <c:formatCode>0%</c:formatCode>
                <c:ptCount val="3"/>
                <c:pt idx="0">
                  <c:v>0.15727699530516431</c:v>
                </c:pt>
                <c:pt idx="1">
                  <c:v>0.15488867376573087</c:v>
                </c:pt>
                <c:pt idx="2">
                  <c:v>0.13043478260869565</c:v>
                </c:pt>
              </c:numCache>
            </c:numRef>
          </c:val>
          <c:extLst>
            <c:ext xmlns:c16="http://schemas.microsoft.com/office/drawing/2014/chart" uri="{C3380CC4-5D6E-409C-BE32-E72D297353CC}">
              <c16:uniqueId val="{00000002-581F-457C-B925-94A99CF50816}"/>
            </c:ext>
          </c:extLst>
        </c:ser>
        <c:dLbls>
          <c:showLegendKey val="0"/>
          <c:showVal val="0"/>
          <c:showCatName val="0"/>
          <c:showSerName val="0"/>
          <c:showPercent val="0"/>
          <c:showBubbleSize val="0"/>
        </c:dLbls>
        <c:gapWidth val="219"/>
        <c:overlap val="-27"/>
        <c:axId val="550914736"/>
        <c:axId val="550917232"/>
      </c:barChart>
      <c:catAx>
        <c:axId val="550914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917232"/>
        <c:crosses val="autoZero"/>
        <c:auto val="1"/>
        <c:lblAlgn val="ctr"/>
        <c:lblOffset val="100"/>
        <c:noMultiLvlLbl val="0"/>
      </c:catAx>
      <c:valAx>
        <c:axId val="5509172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0914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Deanery_Frequency_Response_Coun!$B$1</c:f>
              <c:strCache>
                <c:ptCount val="1"/>
                <c:pt idx="0">
                  <c:v>Never</c:v>
                </c:pt>
              </c:strCache>
            </c:strRef>
          </c:tx>
          <c:spPr>
            <a:solidFill>
              <a:schemeClr val="accent1"/>
            </a:solidFill>
            <a:ln>
              <a:noFill/>
            </a:ln>
            <a:effectLst/>
          </c:spPr>
          <c:invertIfNegative val="0"/>
          <c:cat>
            <c:strRef>
              <c:f>Deanery_Frequency_Response_Coun!$A$2:$A$17</c:f>
              <c:strCache>
                <c:ptCount val="16"/>
                <c:pt idx="0">
                  <c:v>HEE East Midlands</c:v>
                </c:pt>
                <c:pt idx="1">
                  <c:v>HEE East of England</c:v>
                </c:pt>
                <c:pt idx="2">
                  <c:v>HEE Kent, Surrey &amp; Sussex</c:v>
                </c:pt>
                <c:pt idx="3">
                  <c:v>HEE North Central and East London</c:v>
                </c:pt>
                <c:pt idx="4">
                  <c:v>HEE North East</c:v>
                </c:pt>
                <c:pt idx="5">
                  <c:v>HEE North West </c:v>
                </c:pt>
                <c:pt idx="6">
                  <c:v>HEE North West London</c:v>
                </c:pt>
                <c:pt idx="7">
                  <c:v>HEE South London</c:v>
                </c:pt>
                <c:pt idx="8">
                  <c:v>HEE South West</c:v>
                </c:pt>
                <c:pt idx="9">
                  <c:v>HEE Thames Valley</c:v>
                </c:pt>
                <c:pt idx="10">
                  <c:v>HEE Wessex</c:v>
                </c:pt>
                <c:pt idx="11">
                  <c:v>HEE West Midlands</c:v>
                </c:pt>
                <c:pt idx="12">
                  <c:v>HEE Yorkshire &amp; Humber</c:v>
                </c:pt>
                <c:pt idx="13">
                  <c:v>Health Education and Improvement Wales</c:v>
                </c:pt>
                <c:pt idx="14">
                  <c:v>NHS Education for Scotland </c:v>
                </c:pt>
                <c:pt idx="15">
                  <c:v>Northern Ireland Medical and Dental Training Agency</c:v>
                </c:pt>
              </c:strCache>
            </c:strRef>
          </c:cat>
          <c:val>
            <c:numRef>
              <c:f>Deanery_Frequency_Response_Coun!$B$2:$B$17</c:f>
              <c:numCache>
                <c:formatCode>General</c:formatCode>
                <c:ptCount val="16"/>
                <c:pt idx="0">
                  <c:v>9</c:v>
                </c:pt>
                <c:pt idx="1">
                  <c:v>22</c:v>
                </c:pt>
                <c:pt idx="2">
                  <c:v>25</c:v>
                </c:pt>
                <c:pt idx="3">
                  <c:v>23</c:v>
                </c:pt>
                <c:pt idx="4">
                  <c:v>7</c:v>
                </c:pt>
                <c:pt idx="5">
                  <c:v>38</c:v>
                </c:pt>
                <c:pt idx="6">
                  <c:v>7</c:v>
                </c:pt>
                <c:pt idx="7">
                  <c:v>12</c:v>
                </c:pt>
                <c:pt idx="8">
                  <c:v>6</c:v>
                </c:pt>
                <c:pt idx="9">
                  <c:v>12</c:v>
                </c:pt>
                <c:pt idx="10">
                  <c:v>15</c:v>
                </c:pt>
                <c:pt idx="11">
                  <c:v>14</c:v>
                </c:pt>
                <c:pt idx="12">
                  <c:v>18</c:v>
                </c:pt>
                <c:pt idx="13">
                  <c:v>3</c:v>
                </c:pt>
                <c:pt idx="14">
                  <c:v>6</c:v>
                </c:pt>
                <c:pt idx="15">
                  <c:v>9</c:v>
                </c:pt>
              </c:numCache>
            </c:numRef>
          </c:val>
          <c:extLst>
            <c:ext xmlns:c16="http://schemas.microsoft.com/office/drawing/2014/chart" uri="{C3380CC4-5D6E-409C-BE32-E72D297353CC}">
              <c16:uniqueId val="{00000000-1232-4B61-8CF0-0B848B68AD6F}"/>
            </c:ext>
          </c:extLst>
        </c:ser>
        <c:ser>
          <c:idx val="1"/>
          <c:order val="1"/>
          <c:tx>
            <c:strRef>
              <c:f>Deanery_Frequency_Response_Coun!$C$1</c:f>
              <c:strCache>
                <c:ptCount val="1"/>
                <c:pt idx="0">
                  <c:v>Rarely</c:v>
                </c:pt>
              </c:strCache>
            </c:strRef>
          </c:tx>
          <c:spPr>
            <a:solidFill>
              <a:schemeClr val="accent2"/>
            </a:solidFill>
            <a:ln>
              <a:noFill/>
            </a:ln>
            <a:effectLst/>
          </c:spPr>
          <c:invertIfNegative val="0"/>
          <c:cat>
            <c:strRef>
              <c:f>Deanery_Frequency_Response_Coun!$A$2:$A$17</c:f>
              <c:strCache>
                <c:ptCount val="16"/>
                <c:pt idx="0">
                  <c:v>HEE East Midlands</c:v>
                </c:pt>
                <c:pt idx="1">
                  <c:v>HEE East of England</c:v>
                </c:pt>
                <c:pt idx="2">
                  <c:v>HEE Kent, Surrey &amp; Sussex</c:v>
                </c:pt>
                <c:pt idx="3">
                  <c:v>HEE North Central and East London</c:v>
                </c:pt>
                <c:pt idx="4">
                  <c:v>HEE North East</c:v>
                </c:pt>
                <c:pt idx="5">
                  <c:v>HEE North West </c:v>
                </c:pt>
                <c:pt idx="6">
                  <c:v>HEE North West London</c:v>
                </c:pt>
                <c:pt idx="7">
                  <c:v>HEE South London</c:v>
                </c:pt>
                <c:pt idx="8">
                  <c:v>HEE South West</c:v>
                </c:pt>
                <c:pt idx="9">
                  <c:v>HEE Thames Valley</c:v>
                </c:pt>
                <c:pt idx="10">
                  <c:v>HEE Wessex</c:v>
                </c:pt>
                <c:pt idx="11">
                  <c:v>HEE West Midlands</c:v>
                </c:pt>
                <c:pt idx="12">
                  <c:v>HEE Yorkshire &amp; Humber</c:v>
                </c:pt>
                <c:pt idx="13">
                  <c:v>Health Education and Improvement Wales</c:v>
                </c:pt>
                <c:pt idx="14">
                  <c:v>NHS Education for Scotland </c:v>
                </c:pt>
                <c:pt idx="15">
                  <c:v>Northern Ireland Medical and Dental Training Agency</c:v>
                </c:pt>
              </c:strCache>
            </c:strRef>
          </c:cat>
          <c:val>
            <c:numRef>
              <c:f>Deanery_Frequency_Response_Coun!$C$2:$C$17</c:f>
              <c:numCache>
                <c:formatCode>General</c:formatCode>
                <c:ptCount val="16"/>
                <c:pt idx="0">
                  <c:v>27</c:v>
                </c:pt>
                <c:pt idx="1">
                  <c:v>26</c:v>
                </c:pt>
                <c:pt idx="2">
                  <c:v>23</c:v>
                </c:pt>
                <c:pt idx="3">
                  <c:v>22</c:v>
                </c:pt>
                <c:pt idx="4">
                  <c:v>35</c:v>
                </c:pt>
                <c:pt idx="5">
                  <c:v>56</c:v>
                </c:pt>
                <c:pt idx="6">
                  <c:v>23</c:v>
                </c:pt>
                <c:pt idx="7">
                  <c:v>13</c:v>
                </c:pt>
                <c:pt idx="8">
                  <c:v>13</c:v>
                </c:pt>
                <c:pt idx="9">
                  <c:v>19</c:v>
                </c:pt>
                <c:pt idx="10">
                  <c:v>18</c:v>
                </c:pt>
                <c:pt idx="11">
                  <c:v>42</c:v>
                </c:pt>
                <c:pt idx="12">
                  <c:v>22</c:v>
                </c:pt>
                <c:pt idx="13">
                  <c:v>12</c:v>
                </c:pt>
                <c:pt idx="14">
                  <c:v>24</c:v>
                </c:pt>
                <c:pt idx="15">
                  <c:v>19</c:v>
                </c:pt>
              </c:numCache>
            </c:numRef>
          </c:val>
          <c:extLst>
            <c:ext xmlns:c16="http://schemas.microsoft.com/office/drawing/2014/chart" uri="{C3380CC4-5D6E-409C-BE32-E72D297353CC}">
              <c16:uniqueId val="{00000001-1232-4B61-8CF0-0B848B68AD6F}"/>
            </c:ext>
          </c:extLst>
        </c:ser>
        <c:ser>
          <c:idx val="2"/>
          <c:order val="2"/>
          <c:tx>
            <c:strRef>
              <c:f>Deanery_Frequency_Response_Coun!$D$1</c:f>
              <c:strCache>
                <c:ptCount val="1"/>
                <c:pt idx="0">
                  <c:v>Sometimes</c:v>
                </c:pt>
              </c:strCache>
            </c:strRef>
          </c:tx>
          <c:spPr>
            <a:solidFill>
              <a:schemeClr val="accent3"/>
            </a:solidFill>
            <a:ln>
              <a:noFill/>
            </a:ln>
            <a:effectLst/>
          </c:spPr>
          <c:invertIfNegative val="0"/>
          <c:cat>
            <c:strRef>
              <c:f>Deanery_Frequency_Response_Coun!$A$2:$A$17</c:f>
              <c:strCache>
                <c:ptCount val="16"/>
                <c:pt idx="0">
                  <c:v>HEE East Midlands</c:v>
                </c:pt>
                <c:pt idx="1">
                  <c:v>HEE East of England</c:v>
                </c:pt>
                <c:pt idx="2">
                  <c:v>HEE Kent, Surrey &amp; Sussex</c:v>
                </c:pt>
                <c:pt idx="3">
                  <c:v>HEE North Central and East London</c:v>
                </c:pt>
                <c:pt idx="4">
                  <c:v>HEE North East</c:v>
                </c:pt>
                <c:pt idx="5">
                  <c:v>HEE North West </c:v>
                </c:pt>
                <c:pt idx="6">
                  <c:v>HEE North West London</c:v>
                </c:pt>
                <c:pt idx="7">
                  <c:v>HEE South London</c:v>
                </c:pt>
                <c:pt idx="8">
                  <c:v>HEE South West</c:v>
                </c:pt>
                <c:pt idx="9">
                  <c:v>HEE Thames Valley</c:v>
                </c:pt>
                <c:pt idx="10">
                  <c:v>HEE Wessex</c:v>
                </c:pt>
                <c:pt idx="11">
                  <c:v>HEE West Midlands</c:v>
                </c:pt>
                <c:pt idx="12">
                  <c:v>HEE Yorkshire &amp; Humber</c:v>
                </c:pt>
                <c:pt idx="13">
                  <c:v>Health Education and Improvement Wales</c:v>
                </c:pt>
                <c:pt idx="14">
                  <c:v>NHS Education for Scotland </c:v>
                </c:pt>
                <c:pt idx="15">
                  <c:v>Northern Ireland Medical and Dental Training Agency</c:v>
                </c:pt>
              </c:strCache>
            </c:strRef>
          </c:cat>
          <c:val>
            <c:numRef>
              <c:f>Deanery_Frequency_Response_Coun!$D$2:$D$17</c:f>
              <c:numCache>
                <c:formatCode>General</c:formatCode>
                <c:ptCount val="16"/>
                <c:pt idx="0">
                  <c:v>54</c:v>
                </c:pt>
                <c:pt idx="1">
                  <c:v>46</c:v>
                </c:pt>
                <c:pt idx="2">
                  <c:v>37</c:v>
                </c:pt>
                <c:pt idx="3">
                  <c:v>40</c:v>
                </c:pt>
                <c:pt idx="4">
                  <c:v>46</c:v>
                </c:pt>
                <c:pt idx="5">
                  <c:v>75</c:v>
                </c:pt>
                <c:pt idx="6">
                  <c:v>34</c:v>
                </c:pt>
                <c:pt idx="7">
                  <c:v>30</c:v>
                </c:pt>
                <c:pt idx="8">
                  <c:v>48</c:v>
                </c:pt>
                <c:pt idx="9">
                  <c:v>30</c:v>
                </c:pt>
                <c:pt idx="10">
                  <c:v>28</c:v>
                </c:pt>
                <c:pt idx="11">
                  <c:v>56</c:v>
                </c:pt>
                <c:pt idx="12">
                  <c:v>61</c:v>
                </c:pt>
                <c:pt idx="13">
                  <c:v>27</c:v>
                </c:pt>
                <c:pt idx="14">
                  <c:v>67</c:v>
                </c:pt>
                <c:pt idx="15">
                  <c:v>22</c:v>
                </c:pt>
              </c:numCache>
            </c:numRef>
          </c:val>
          <c:extLst>
            <c:ext xmlns:c16="http://schemas.microsoft.com/office/drawing/2014/chart" uri="{C3380CC4-5D6E-409C-BE32-E72D297353CC}">
              <c16:uniqueId val="{00000002-1232-4B61-8CF0-0B848B68AD6F}"/>
            </c:ext>
          </c:extLst>
        </c:ser>
        <c:ser>
          <c:idx val="3"/>
          <c:order val="3"/>
          <c:tx>
            <c:strRef>
              <c:f>Deanery_Frequency_Response_Coun!$E$1</c:f>
              <c:strCache>
                <c:ptCount val="1"/>
                <c:pt idx="0">
                  <c:v>Often</c:v>
                </c:pt>
              </c:strCache>
            </c:strRef>
          </c:tx>
          <c:spPr>
            <a:solidFill>
              <a:schemeClr val="accent4"/>
            </a:solidFill>
            <a:ln>
              <a:noFill/>
            </a:ln>
            <a:effectLst/>
          </c:spPr>
          <c:invertIfNegative val="0"/>
          <c:cat>
            <c:strRef>
              <c:f>Deanery_Frequency_Response_Coun!$A$2:$A$17</c:f>
              <c:strCache>
                <c:ptCount val="16"/>
                <c:pt idx="0">
                  <c:v>HEE East Midlands</c:v>
                </c:pt>
                <c:pt idx="1">
                  <c:v>HEE East of England</c:v>
                </c:pt>
                <c:pt idx="2">
                  <c:v>HEE Kent, Surrey &amp; Sussex</c:v>
                </c:pt>
                <c:pt idx="3">
                  <c:v>HEE North Central and East London</c:v>
                </c:pt>
                <c:pt idx="4">
                  <c:v>HEE North East</c:v>
                </c:pt>
                <c:pt idx="5">
                  <c:v>HEE North West </c:v>
                </c:pt>
                <c:pt idx="6">
                  <c:v>HEE North West London</c:v>
                </c:pt>
                <c:pt idx="7">
                  <c:v>HEE South London</c:v>
                </c:pt>
                <c:pt idx="8">
                  <c:v>HEE South West</c:v>
                </c:pt>
                <c:pt idx="9">
                  <c:v>HEE Thames Valley</c:v>
                </c:pt>
                <c:pt idx="10">
                  <c:v>HEE Wessex</c:v>
                </c:pt>
                <c:pt idx="11">
                  <c:v>HEE West Midlands</c:v>
                </c:pt>
                <c:pt idx="12">
                  <c:v>HEE Yorkshire &amp; Humber</c:v>
                </c:pt>
                <c:pt idx="13">
                  <c:v>Health Education and Improvement Wales</c:v>
                </c:pt>
                <c:pt idx="14">
                  <c:v>NHS Education for Scotland </c:v>
                </c:pt>
                <c:pt idx="15">
                  <c:v>Northern Ireland Medical and Dental Training Agency</c:v>
                </c:pt>
              </c:strCache>
            </c:strRef>
          </c:cat>
          <c:val>
            <c:numRef>
              <c:f>Deanery_Frequency_Response_Coun!$E$2:$E$17</c:f>
              <c:numCache>
                <c:formatCode>General</c:formatCode>
                <c:ptCount val="16"/>
                <c:pt idx="0">
                  <c:v>48</c:v>
                </c:pt>
                <c:pt idx="1">
                  <c:v>45</c:v>
                </c:pt>
                <c:pt idx="2">
                  <c:v>26</c:v>
                </c:pt>
                <c:pt idx="3">
                  <c:v>44</c:v>
                </c:pt>
                <c:pt idx="4">
                  <c:v>24</c:v>
                </c:pt>
                <c:pt idx="5">
                  <c:v>73</c:v>
                </c:pt>
                <c:pt idx="6">
                  <c:v>38</c:v>
                </c:pt>
                <c:pt idx="7">
                  <c:v>53</c:v>
                </c:pt>
                <c:pt idx="8">
                  <c:v>51</c:v>
                </c:pt>
                <c:pt idx="9">
                  <c:v>18</c:v>
                </c:pt>
                <c:pt idx="10">
                  <c:v>13</c:v>
                </c:pt>
                <c:pt idx="11">
                  <c:v>44</c:v>
                </c:pt>
                <c:pt idx="12">
                  <c:v>66</c:v>
                </c:pt>
                <c:pt idx="13">
                  <c:v>22</c:v>
                </c:pt>
                <c:pt idx="14">
                  <c:v>61</c:v>
                </c:pt>
                <c:pt idx="15">
                  <c:v>13</c:v>
                </c:pt>
              </c:numCache>
            </c:numRef>
          </c:val>
          <c:extLst>
            <c:ext xmlns:c16="http://schemas.microsoft.com/office/drawing/2014/chart" uri="{C3380CC4-5D6E-409C-BE32-E72D297353CC}">
              <c16:uniqueId val="{00000003-1232-4B61-8CF0-0B848B68AD6F}"/>
            </c:ext>
          </c:extLst>
        </c:ser>
        <c:ser>
          <c:idx val="4"/>
          <c:order val="4"/>
          <c:tx>
            <c:strRef>
              <c:f>Deanery_Frequency_Response_Coun!$F$1</c:f>
              <c:strCache>
                <c:ptCount val="1"/>
                <c:pt idx="0">
                  <c:v>Always</c:v>
                </c:pt>
              </c:strCache>
            </c:strRef>
          </c:tx>
          <c:spPr>
            <a:solidFill>
              <a:schemeClr val="accent5"/>
            </a:solidFill>
            <a:ln>
              <a:noFill/>
            </a:ln>
            <a:effectLst/>
          </c:spPr>
          <c:invertIfNegative val="0"/>
          <c:cat>
            <c:strRef>
              <c:f>Deanery_Frequency_Response_Coun!$A$2:$A$17</c:f>
              <c:strCache>
                <c:ptCount val="16"/>
                <c:pt idx="0">
                  <c:v>HEE East Midlands</c:v>
                </c:pt>
                <c:pt idx="1">
                  <c:v>HEE East of England</c:v>
                </c:pt>
                <c:pt idx="2">
                  <c:v>HEE Kent, Surrey &amp; Sussex</c:v>
                </c:pt>
                <c:pt idx="3">
                  <c:v>HEE North Central and East London</c:v>
                </c:pt>
                <c:pt idx="4">
                  <c:v>HEE North East</c:v>
                </c:pt>
                <c:pt idx="5">
                  <c:v>HEE North West </c:v>
                </c:pt>
                <c:pt idx="6">
                  <c:v>HEE North West London</c:v>
                </c:pt>
                <c:pt idx="7">
                  <c:v>HEE South London</c:v>
                </c:pt>
                <c:pt idx="8">
                  <c:v>HEE South West</c:v>
                </c:pt>
                <c:pt idx="9">
                  <c:v>HEE Thames Valley</c:v>
                </c:pt>
                <c:pt idx="10">
                  <c:v>HEE Wessex</c:v>
                </c:pt>
                <c:pt idx="11">
                  <c:v>HEE West Midlands</c:v>
                </c:pt>
                <c:pt idx="12">
                  <c:v>HEE Yorkshire &amp; Humber</c:v>
                </c:pt>
                <c:pt idx="13">
                  <c:v>Health Education and Improvement Wales</c:v>
                </c:pt>
                <c:pt idx="14">
                  <c:v>NHS Education for Scotland </c:v>
                </c:pt>
                <c:pt idx="15">
                  <c:v>Northern Ireland Medical and Dental Training Agency</c:v>
                </c:pt>
              </c:strCache>
            </c:strRef>
          </c:cat>
          <c:val>
            <c:numRef>
              <c:f>Deanery_Frequency_Response_Coun!$F$2:$F$17</c:f>
              <c:numCache>
                <c:formatCode>General</c:formatCode>
                <c:ptCount val="16"/>
                <c:pt idx="0">
                  <c:v>22</c:v>
                </c:pt>
                <c:pt idx="1">
                  <c:v>28</c:v>
                </c:pt>
                <c:pt idx="2">
                  <c:v>19</c:v>
                </c:pt>
                <c:pt idx="3">
                  <c:v>19</c:v>
                </c:pt>
                <c:pt idx="4">
                  <c:v>6</c:v>
                </c:pt>
                <c:pt idx="5">
                  <c:v>38</c:v>
                </c:pt>
                <c:pt idx="6">
                  <c:v>15</c:v>
                </c:pt>
                <c:pt idx="7">
                  <c:v>11</c:v>
                </c:pt>
                <c:pt idx="8">
                  <c:v>19</c:v>
                </c:pt>
                <c:pt idx="9">
                  <c:v>8</c:v>
                </c:pt>
                <c:pt idx="10">
                  <c:v>7</c:v>
                </c:pt>
                <c:pt idx="11">
                  <c:v>13</c:v>
                </c:pt>
                <c:pt idx="12">
                  <c:v>22</c:v>
                </c:pt>
                <c:pt idx="13">
                  <c:v>5</c:v>
                </c:pt>
                <c:pt idx="14">
                  <c:v>13</c:v>
                </c:pt>
                <c:pt idx="15">
                  <c:v>2</c:v>
                </c:pt>
              </c:numCache>
            </c:numRef>
          </c:val>
          <c:extLst>
            <c:ext xmlns:c16="http://schemas.microsoft.com/office/drawing/2014/chart" uri="{C3380CC4-5D6E-409C-BE32-E72D297353CC}">
              <c16:uniqueId val="{00000004-1232-4B61-8CF0-0B848B68AD6F}"/>
            </c:ext>
          </c:extLst>
        </c:ser>
        <c:dLbls>
          <c:showLegendKey val="0"/>
          <c:showVal val="0"/>
          <c:showCatName val="0"/>
          <c:showSerName val="0"/>
          <c:showPercent val="0"/>
          <c:showBubbleSize val="0"/>
        </c:dLbls>
        <c:gapWidth val="150"/>
        <c:overlap val="100"/>
        <c:axId val="526501344"/>
        <c:axId val="526512864"/>
      </c:barChart>
      <c:catAx>
        <c:axId val="5265013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512864"/>
        <c:crosses val="autoZero"/>
        <c:auto val="1"/>
        <c:lblAlgn val="ctr"/>
        <c:lblOffset val="100"/>
        <c:noMultiLvlLbl val="0"/>
      </c:catAx>
      <c:valAx>
        <c:axId val="5265128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6501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n-GB">
                <a:solidFill>
                  <a:sysClr val="windowText" lastClr="000000"/>
                </a:solidFill>
              </a:rPr>
              <a:t>Clinical</a:t>
            </a:r>
            <a:r>
              <a:rPr lang="en-GB" baseline="0">
                <a:solidFill>
                  <a:sysClr val="windowText" lastClr="000000"/>
                </a:solidFill>
              </a:rPr>
              <a:t> activities without what you consider to be appropriate supervision</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cat>
            <c:strRef>
              <c:f>'2.9 Supervision'!$F$4:$F$7</c:f>
              <c:strCache>
                <c:ptCount val="4"/>
                <c:pt idx="0">
                  <c:v>Labour ward</c:v>
                </c:pt>
                <c:pt idx="1">
                  <c:v>ANC</c:v>
                </c:pt>
                <c:pt idx="2">
                  <c:v>Theatre</c:v>
                </c:pt>
                <c:pt idx="3">
                  <c:v>Elective CS list</c:v>
                </c:pt>
              </c:strCache>
            </c:strRef>
          </c:cat>
          <c:val>
            <c:numRef>
              <c:f>'2.9 Supervision'!$G$4:$G$7</c:f>
              <c:numCache>
                <c:formatCode>General</c:formatCode>
                <c:ptCount val="4"/>
                <c:pt idx="0">
                  <c:v>9.1</c:v>
                </c:pt>
                <c:pt idx="1">
                  <c:v>21.7</c:v>
                </c:pt>
                <c:pt idx="2">
                  <c:v>93</c:v>
                </c:pt>
                <c:pt idx="3">
                  <c:v>7.9</c:v>
                </c:pt>
              </c:numCache>
            </c:numRef>
          </c:val>
          <c:extLst>
            <c:ext xmlns:c16="http://schemas.microsoft.com/office/drawing/2014/chart" uri="{C3380CC4-5D6E-409C-BE32-E72D297353CC}">
              <c16:uniqueId val="{00000000-8E79-45DC-9400-09AE0F1CE186}"/>
            </c:ext>
          </c:extLst>
        </c:ser>
        <c:dLbls>
          <c:showLegendKey val="0"/>
          <c:showVal val="0"/>
          <c:showCatName val="0"/>
          <c:showSerName val="0"/>
          <c:showPercent val="0"/>
          <c:showBubbleSize val="0"/>
        </c:dLbls>
        <c:gapWidth val="219"/>
        <c:overlap val="-27"/>
        <c:axId val="1220928752"/>
        <c:axId val="791158816"/>
      </c:barChart>
      <c:catAx>
        <c:axId val="1220928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Clinical</a:t>
                </a:r>
                <a:r>
                  <a:rPr lang="en-GB" baseline="0"/>
                  <a:t> area</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1158816"/>
        <c:crosses val="autoZero"/>
        <c:auto val="1"/>
        <c:lblAlgn val="ctr"/>
        <c:lblOffset val="100"/>
        <c:noMultiLvlLbl val="0"/>
      </c:catAx>
      <c:valAx>
        <c:axId val="791158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responders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20928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Workplaces</a:t>
            </a:r>
            <a:r>
              <a:rPr lang="en-GB" baseline="0"/>
              <a:t> behavours either personally subjected  to</a:t>
            </a:r>
          </a:p>
          <a:p>
            <a:pPr>
              <a:defRPr/>
            </a:pPr>
            <a:r>
              <a:rPr lang="en-GB" baseline="0"/>
              <a:t>(blue) or witnessed occuring to other healthcare professionals (orange)</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'17.1'!$E$3:$E$7</c:f>
              <c:strCache>
                <c:ptCount val="5"/>
                <c:pt idx="0">
                  <c:v>Always</c:v>
                </c:pt>
                <c:pt idx="1">
                  <c:v>Often</c:v>
                </c:pt>
                <c:pt idx="2">
                  <c:v>Sometimes</c:v>
                </c:pt>
                <c:pt idx="3">
                  <c:v>Rarely</c:v>
                </c:pt>
                <c:pt idx="4">
                  <c:v>Never</c:v>
                </c:pt>
              </c:strCache>
            </c:strRef>
          </c:cat>
          <c:val>
            <c:numRef>
              <c:f>'17.1'!$F$3:$F$7</c:f>
              <c:numCache>
                <c:formatCode>General</c:formatCode>
                <c:ptCount val="5"/>
                <c:pt idx="0">
                  <c:v>0.4</c:v>
                </c:pt>
                <c:pt idx="1">
                  <c:v>2.2999999999999998</c:v>
                </c:pt>
                <c:pt idx="2">
                  <c:v>10.9</c:v>
                </c:pt>
                <c:pt idx="3">
                  <c:v>24</c:v>
                </c:pt>
                <c:pt idx="4">
                  <c:v>62.4</c:v>
                </c:pt>
              </c:numCache>
            </c:numRef>
          </c:val>
          <c:extLst>
            <c:ext xmlns:c16="http://schemas.microsoft.com/office/drawing/2014/chart" uri="{C3380CC4-5D6E-409C-BE32-E72D297353CC}">
              <c16:uniqueId val="{00000000-F573-4AA5-9770-361B60645BDB}"/>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'17.1'!$E$3:$E$7</c:f>
              <c:strCache>
                <c:ptCount val="5"/>
                <c:pt idx="0">
                  <c:v>Always</c:v>
                </c:pt>
                <c:pt idx="1">
                  <c:v>Often</c:v>
                </c:pt>
                <c:pt idx="2">
                  <c:v>Sometimes</c:v>
                </c:pt>
                <c:pt idx="3">
                  <c:v>Rarely</c:v>
                </c:pt>
                <c:pt idx="4">
                  <c:v>Never</c:v>
                </c:pt>
              </c:strCache>
            </c:strRef>
          </c:cat>
          <c:val>
            <c:numRef>
              <c:f>'17.1'!$G$3:$G$7</c:f>
              <c:numCache>
                <c:formatCode>General</c:formatCode>
                <c:ptCount val="5"/>
                <c:pt idx="0">
                  <c:v>0.3</c:v>
                </c:pt>
                <c:pt idx="1">
                  <c:v>2.9</c:v>
                </c:pt>
                <c:pt idx="2">
                  <c:v>14.8</c:v>
                </c:pt>
                <c:pt idx="3">
                  <c:v>24.4</c:v>
                </c:pt>
                <c:pt idx="4">
                  <c:v>57.6</c:v>
                </c:pt>
              </c:numCache>
            </c:numRef>
          </c:val>
          <c:extLst>
            <c:ext xmlns:c16="http://schemas.microsoft.com/office/drawing/2014/chart" uri="{C3380CC4-5D6E-409C-BE32-E72D297353CC}">
              <c16:uniqueId val="{00000001-F573-4AA5-9770-361B60645BDB}"/>
            </c:ext>
          </c:extLst>
        </c:ser>
        <c:dLbls>
          <c:showLegendKey val="0"/>
          <c:showVal val="0"/>
          <c:showCatName val="0"/>
          <c:showSerName val="0"/>
          <c:showPercent val="0"/>
          <c:showBubbleSize val="0"/>
        </c:dLbls>
        <c:gapWidth val="219"/>
        <c:overlap val="-27"/>
        <c:axId val="85692192"/>
        <c:axId val="650900848"/>
      </c:barChart>
      <c:catAx>
        <c:axId val="85692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900848"/>
        <c:crosses val="autoZero"/>
        <c:auto val="1"/>
        <c:lblAlgn val="ctr"/>
        <c:lblOffset val="100"/>
        <c:noMultiLvlLbl val="0"/>
      </c:catAx>
      <c:valAx>
        <c:axId val="6509008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respondents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692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How</a:t>
            </a:r>
            <a:r>
              <a:rPr lang="en-GB" baseline="0"/>
              <a:t> many days off had you had for work related physical or mental health issues in the last six months?</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spPr>
            <a:solidFill>
              <a:schemeClr val="accent1"/>
            </a:solidFill>
            <a:ln>
              <a:noFill/>
            </a:ln>
            <a:effectLst/>
          </c:spPr>
          <c:invertIfNegative val="0"/>
          <c:cat>
            <c:strRef>
              <c:f>'22.1'!$A$23:$A$27</c:f>
              <c:strCache>
                <c:ptCount val="5"/>
                <c:pt idx="0">
                  <c:v>0 to 1</c:v>
                </c:pt>
                <c:pt idx="1">
                  <c:v>2 to 3</c:v>
                </c:pt>
                <c:pt idx="2">
                  <c:v>4 to 7</c:v>
                </c:pt>
                <c:pt idx="3">
                  <c:v>8 to 10</c:v>
                </c:pt>
                <c:pt idx="4">
                  <c:v>&gt;10</c:v>
                </c:pt>
              </c:strCache>
            </c:strRef>
          </c:cat>
          <c:val>
            <c:numRef>
              <c:f>'22.1'!$E$23:$E$27</c:f>
              <c:numCache>
                <c:formatCode>General</c:formatCode>
                <c:ptCount val="5"/>
                <c:pt idx="0">
                  <c:v>17.7</c:v>
                </c:pt>
                <c:pt idx="1">
                  <c:v>25.6</c:v>
                </c:pt>
                <c:pt idx="2">
                  <c:v>18.899999999999999</c:v>
                </c:pt>
                <c:pt idx="3">
                  <c:v>7.5</c:v>
                </c:pt>
                <c:pt idx="4">
                  <c:v>30.3</c:v>
                </c:pt>
              </c:numCache>
            </c:numRef>
          </c:val>
          <c:extLst>
            <c:ext xmlns:c16="http://schemas.microsoft.com/office/drawing/2014/chart" uri="{C3380CC4-5D6E-409C-BE32-E72D297353CC}">
              <c16:uniqueId val="{00000000-8E6A-4838-AC5C-2AC6118059E2}"/>
            </c:ext>
          </c:extLst>
        </c:ser>
        <c:dLbls>
          <c:showLegendKey val="0"/>
          <c:showVal val="0"/>
          <c:showCatName val="0"/>
          <c:showSerName val="0"/>
          <c:showPercent val="0"/>
          <c:showBubbleSize val="0"/>
        </c:dLbls>
        <c:gapWidth val="219"/>
        <c:overlap val="-27"/>
        <c:axId val="1218960224"/>
        <c:axId val="846851888"/>
      </c:barChart>
      <c:catAx>
        <c:axId val="1218960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Number</a:t>
                </a:r>
                <a:r>
                  <a:rPr lang="en-GB" baseline="0"/>
                  <a:t> of days</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851888"/>
        <c:crosses val="autoZero"/>
        <c:auto val="1"/>
        <c:lblAlgn val="ctr"/>
        <c:lblOffset val="100"/>
        <c:noMultiLvlLbl val="0"/>
      </c:catAx>
      <c:valAx>
        <c:axId val="846851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a:t>
                </a:r>
                <a:r>
                  <a:rPr lang="en-GB" baseline="0"/>
                  <a:t> of respondants </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89602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a:t>
            </a:r>
            <a:r>
              <a:rPr lang="en-GB" baseline="0"/>
              <a:t> other factors contributed to the days of sickness/ health concerns?</a:t>
            </a:r>
          </a:p>
          <a:p>
            <a:pPr>
              <a:defRPr/>
            </a:pPr>
            <a:r>
              <a:rPr lang="en-GB" baseline="0"/>
              <a:t>Blue - No Orange - Yes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spPr>
            <a:solidFill>
              <a:schemeClr val="accent1"/>
            </a:solidFill>
            <a:ln>
              <a:noFill/>
            </a:ln>
            <a:effectLst/>
          </c:spPr>
          <c:invertIfNegative val="0"/>
          <c:cat>
            <c:strRef>
              <c:f>'22.1'!$H$40:$H$43</c:f>
              <c:strCache>
                <c:ptCount val="4"/>
                <c:pt idx="0">
                  <c:v>Workplace environment</c:v>
                </c:pt>
                <c:pt idx="1">
                  <c:v>Collaegues</c:v>
                </c:pt>
                <c:pt idx="2">
                  <c:v>Team Dynamics</c:v>
                </c:pt>
                <c:pt idx="3">
                  <c:v>Personal circumstances </c:v>
                </c:pt>
              </c:strCache>
            </c:strRef>
          </c:cat>
          <c:val>
            <c:numRef>
              <c:f>'22.1'!$J$40:$J$43</c:f>
              <c:numCache>
                <c:formatCode>General</c:formatCode>
                <c:ptCount val="4"/>
                <c:pt idx="0">
                  <c:v>68.897637795275585</c:v>
                </c:pt>
                <c:pt idx="1">
                  <c:v>90.551181102362193</c:v>
                </c:pt>
                <c:pt idx="2">
                  <c:v>87.795275590551185</c:v>
                </c:pt>
                <c:pt idx="3">
                  <c:v>65.354330708661408</c:v>
                </c:pt>
              </c:numCache>
            </c:numRef>
          </c:val>
          <c:extLst>
            <c:ext xmlns:c16="http://schemas.microsoft.com/office/drawing/2014/chart" uri="{C3380CC4-5D6E-409C-BE32-E72D297353CC}">
              <c16:uniqueId val="{00000000-DA83-4AC8-B940-F24838E37351}"/>
            </c:ext>
          </c:extLst>
        </c:ser>
        <c:ser>
          <c:idx val="1"/>
          <c:order val="1"/>
          <c:spPr>
            <a:solidFill>
              <a:schemeClr val="accent2"/>
            </a:solidFill>
            <a:ln>
              <a:noFill/>
            </a:ln>
            <a:effectLst/>
          </c:spPr>
          <c:invertIfNegative val="0"/>
          <c:cat>
            <c:strRef>
              <c:f>'22.1'!$H$40:$H$43</c:f>
              <c:strCache>
                <c:ptCount val="4"/>
                <c:pt idx="0">
                  <c:v>Workplace environment</c:v>
                </c:pt>
                <c:pt idx="1">
                  <c:v>Collaegues</c:v>
                </c:pt>
                <c:pt idx="2">
                  <c:v>Team Dynamics</c:v>
                </c:pt>
                <c:pt idx="3">
                  <c:v>Personal circumstances </c:v>
                </c:pt>
              </c:strCache>
            </c:strRef>
          </c:cat>
          <c:val>
            <c:numRef>
              <c:f>'22.1'!$L$40:$L$43</c:f>
              <c:numCache>
                <c:formatCode>General</c:formatCode>
                <c:ptCount val="4"/>
                <c:pt idx="0">
                  <c:v>31.102362204724411</c:v>
                </c:pt>
                <c:pt idx="1">
                  <c:v>9.4488188976377945</c:v>
                </c:pt>
                <c:pt idx="2">
                  <c:v>12.204724409448819</c:v>
                </c:pt>
                <c:pt idx="3">
                  <c:v>34.645669291338585</c:v>
                </c:pt>
              </c:numCache>
            </c:numRef>
          </c:val>
          <c:extLst>
            <c:ext xmlns:c16="http://schemas.microsoft.com/office/drawing/2014/chart" uri="{C3380CC4-5D6E-409C-BE32-E72D297353CC}">
              <c16:uniqueId val="{00000001-DA83-4AC8-B940-F24838E37351}"/>
            </c:ext>
          </c:extLst>
        </c:ser>
        <c:dLbls>
          <c:showLegendKey val="0"/>
          <c:showVal val="0"/>
          <c:showCatName val="0"/>
          <c:showSerName val="0"/>
          <c:showPercent val="0"/>
          <c:showBubbleSize val="0"/>
        </c:dLbls>
        <c:gapWidth val="150"/>
        <c:overlap val="100"/>
        <c:axId val="688681504"/>
        <c:axId val="832749120"/>
      </c:barChart>
      <c:catAx>
        <c:axId val="688681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2749120"/>
        <c:crosses val="autoZero"/>
        <c:auto val="1"/>
        <c:lblAlgn val="ctr"/>
        <c:lblOffset val="100"/>
        <c:noMultiLvlLbl val="0"/>
      </c:catAx>
      <c:valAx>
        <c:axId val="832749120"/>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88681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n-US" sz="1600" b="1" i="0" u="none" strike="noStrike" kern="1200" baseline="0">
                <a:solidFill>
                  <a:srgbClr val="0E2841"/>
                </a:solidFill>
                <a:latin typeface="Aptos"/>
              </a:defRPr>
            </a:pPr>
            <a:r>
              <a:rPr lang="en-US" sz="1600" b="1" i="0" u="none" strike="noStrike" kern="1200" cap="none" spc="0" baseline="0">
                <a:solidFill>
                  <a:srgbClr val="0E2841"/>
                </a:solidFill>
                <a:uFillTx/>
                <a:latin typeface="Aptos"/>
              </a:rPr>
              <a:t>Overall Burnout rate</a:t>
            </a:r>
          </a:p>
        </c:rich>
      </c:tx>
      <c:overlay val="0"/>
      <c:spPr>
        <a:noFill/>
        <a:ln>
          <a:noFill/>
        </a:ln>
      </c:spPr>
    </c:title>
    <c:autoTitleDeleted val="0"/>
    <c:plotArea>
      <c:layout/>
      <c:pieChart>
        <c:varyColors val="1"/>
        <c:ser>
          <c:idx val="0"/>
          <c:order val="0"/>
          <c:tx>
            <c:v>Overall Burnout rate</c:v>
          </c:tx>
          <c:dPt>
            <c:idx val="0"/>
            <c:bubble3D val="0"/>
            <c:spPr>
              <a:gradFill>
                <a:gsLst>
                  <a:gs pos="0">
                    <a:srgbClr val="497491"/>
                  </a:gs>
                  <a:gs pos="100000">
                    <a:srgbClr val="106287"/>
                  </a:gs>
                </a:gsLst>
                <a:lin ang="5400000"/>
              </a:gradFill>
              <a:ln>
                <a:noFill/>
              </a:ln>
            </c:spPr>
            <c:extLst>
              <c:ext xmlns:c16="http://schemas.microsoft.com/office/drawing/2014/chart" uri="{C3380CC4-5D6E-409C-BE32-E72D297353CC}">
                <c16:uniqueId val="{00000001-5D80-4117-BE84-6D610DAC055D}"/>
              </c:ext>
            </c:extLst>
          </c:dPt>
          <c:dPt>
            <c:idx val="1"/>
            <c:bubble3D val="0"/>
            <c:spPr>
              <a:gradFill>
                <a:gsLst>
                  <a:gs pos="0">
                    <a:srgbClr val="ED8256"/>
                  </a:gs>
                  <a:gs pos="100000">
                    <a:srgbClr val="F26E29"/>
                  </a:gs>
                </a:gsLst>
                <a:lin ang="5400000"/>
              </a:gradFill>
              <a:ln>
                <a:noFill/>
              </a:ln>
            </c:spPr>
            <c:extLst>
              <c:ext xmlns:c16="http://schemas.microsoft.com/office/drawing/2014/chart" uri="{C3380CC4-5D6E-409C-BE32-E72D297353CC}">
                <c16:uniqueId val="{00000003-5D80-4117-BE84-6D610DAC055D}"/>
              </c:ext>
            </c:extLst>
          </c:dPt>
          <c:dPt>
            <c:idx val="2"/>
            <c:bubble3D val="0"/>
            <c:spPr>
              <a:gradFill>
                <a:gsLst>
                  <a:gs pos="0">
                    <a:srgbClr val="4A7E4E"/>
                  </a:gs>
                  <a:gs pos="100000">
                    <a:srgbClr val="156F21"/>
                  </a:gs>
                </a:gsLst>
                <a:lin ang="5400000"/>
              </a:gradFill>
              <a:ln>
                <a:noFill/>
              </a:ln>
            </c:spPr>
            <c:extLst>
              <c:ext xmlns:c16="http://schemas.microsoft.com/office/drawing/2014/chart" uri="{C3380CC4-5D6E-409C-BE32-E72D297353CC}">
                <c16:uniqueId val="{00000005-5D80-4117-BE84-6D610DAC055D}"/>
              </c:ext>
            </c:extLst>
          </c:dPt>
          <c:dLbls>
            <c:dLbl>
              <c:idx val="0"/>
              <c:tx>
                <c:rich>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E2841"/>
                        </a:solidFill>
                        <a:latin typeface="Aptos"/>
                      </a:defRPr>
                    </a:pPr>
                    <a:r>
                      <a:rPr lang="en-US" sz="900" b="0" i="0" u="none" strike="noStrike" kern="1200" cap="none" spc="0" baseline="0">
                        <a:solidFill>
                          <a:srgbClr val="0E2841"/>
                        </a:solidFill>
                        <a:uFillTx/>
                        <a:latin typeface="Aptos"/>
                      </a:rPr>
                      <a:t>15%</a:t>
                    </a:r>
                  </a:p>
                </c:rich>
              </c:tx>
              <c:spPr>
                <a:noFill/>
                <a:ln>
                  <a:noFill/>
                </a:ln>
                <a:effectLst/>
              </c:sp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1-5D80-4117-BE84-6D610DAC055D}"/>
                </c:ext>
              </c:extLst>
            </c:dLbl>
            <c:dLbl>
              <c:idx val="1"/>
              <c:tx>
                <c:rich>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E2841"/>
                        </a:solidFill>
                        <a:latin typeface="Aptos"/>
                      </a:defRPr>
                    </a:pPr>
                    <a:r>
                      <a:rPr lang="en-US" sz="900" b="0" i="0" u="none" strike="noStrike" kern="1200" cap="none" spc="0" baseline="0">
                        <a:solidFill>
                          <a:srgbClr val="0E2841"/>
                        </a:solidFill>
                        <a:uFillTx/>
                        <a:latin typeface="Aptos"/>
                      </a:rPr>
                      <a:t>47%</a:t>
                    </a:r>
                  </a:p>
                </c:rich>
              </c:tx>
              <c:spPr>
                <a:noFill/>
                <a:ln>
                  <a:noFill/>
                </a:ln>
                <a:effectLst/>
              </c:sp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3-5D80-4117-BE84-6D610DAC055D}"/>
                </c:ext>
              </c:extLst>
            </c:dLbl>
            <c:dLbl>
              <c:idx val="2"/>
              <c:tx>
                <c:rich>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E2841"/>
                        </a:solidFill>
                        <a:latin typeface="Aptos"/>
                      </a:defRPr>
                    </a:pPr>
                    <a:r>
                      <a:rPr lang="en-US" sz="900" b="0" i="0" u="none" strike="noStrike" kern="1200" cap="none" spc="0" baseline="0">
                        <a:solidFill>
                          <a:srgbClr val="0E2841"/>
                        </a:solidFill>
                        <a:uFillTx/>
                        <a:latin typeface="Aptos"/>
                      </a:rPr>
                      <a:t>39%</a:t>
                    </a:r>
                  </a:p>
                </c:rich>
              </c:tx>
              <c:spPr>
                <a:noFill/>
                <a:ln>
                  <a:noFill/>
                </a:ln>
                <a:effectLst/>
              </c:spPr>
              <c:showLegendKey val="0"/>
              <c:showVal val="1"/>
              <c:showCatName val="0"/>
              <c:showSerName val="0"/>
              <c:showPercent val="1"/>
              <c:showBubbleSize val="0"/>
              <c:separator>, </c:separator>
              <c:extLst>
                <c:ext xmlns:c15="http://schemas.microsoft.com/office/drawing/2012/chart" uri="{CE6537A1-D6FC-4f65-9D91-7224C49458BB}">
                  <c15:spPr xmlns:c15="http://schemas.microsoft.com/office/drawing/2012/chart">
                    <a:prstGeom prst="rect">
                      <a:avLst/>
                    </a:prstGeom>
                  </c15:spPr>
                  <c15:showDataLabelsRange val="0"/>
                </c:ext>
                <c:ext xmlns:c16="http://schemas.microsoft.com/office/drawing/2014/chart" uri="{C3380CC4-5D6E-409C-BE32-E72D297353CC}">
                  <c16:uniqueId val="{00000005-5D80-4117-BE84-6D610DAC055D}"/>
                </c:ext>
              </c:extLst>
            </c:dLbl>
            <c:spPr>
              <a:noFill/>
              <a:ln>
                <a:noFill/>
              </a:ln>
              <a:effectLst/>
            </c:spPr>
            <c:txPr>
              <a:bodyPr lIns="0" tIns="0" rIns="0" bIns="0"/>
              <a:lstStyle/>
              <a:p>
                <a:pPr marL="0" marR="0" indent="0" algn="ctr" defTabSz="914400" fontAlgn="auto" hangingPunct="1">
                  <a:lnSpc>
                    <a:spcPct val="100000"/>
                  </a:lnSpc>
                  <a:spcBef>
                    <a:spcPts val="0"/>
                  </a:spcBef>
                  <a:spcAft>
                    <a:spcPts val="0"/>
                  </a:spcAft>
                  <a:tabLst/>
                  <a:defRPr lang="en-US" sz="900" b="0" i="0" u="none" strike="noStrike" kern="1200" baseline="0">
                    <a:solidFill>
                      <a:srgbClr val="0E2841"/>
                    </a:solidFill>
                    <a:latin typeface="Aptos"/>
                  </a:defRPr>
                </a:pPr>
                <a:endParaRPr lang="en-US"/>
              </a:p>
            </c:txPr>
            <c:showLegendKey val="0"/>
            <c:showVal val="1"/>
            <c:showCatName val="0"/>
            <c:showSerName val="0"/>
            <c:showPercent val="1"/>
            <c:showBubbleSize val="0"/>
            <c:separator>, </c:separator>
            <c:showLeaderLines val="1"/>
            <c:extLst>
              <c:ext xmlns:c15="http://schemas.microsoft.com/office/drawing/2012/chart" uri="{CE6537A1-D6FC-4f65-9D91-7224C49458BB}"/>
            </c:extLst>
          </c:dLbls>
          <c:cat>
            <c:strLit>
              <c:ptCount val="3"/>
              <c:pt idx="0">
                <c:v>High</c:v>
              </c:pt>
              <c:pt idx="1">
                <c:v>Moderate</c:v>
              </c:pt>
              <c:pt idx="2">
                <c:v>low</c:v>
              </c:pt>
            </c:strLit>
          </c:cat>
          <c:val>
            <c:numLit>
              <c:formatCode>General</c:formatCode>
              <c:ptCount val="3"/>
              <c:pt idx="0">
                <c:v>0.15</c:v>
              </c:pt>
              <c:pt idx="1">
                <c:v>0.47</c:v>
              </c:pt>
              <c:pt idx="2">
                <c:v>0.39</c:v>
              </c:pt>
            </c:numLit>
          </c:val>
          <c:extLst>
            <c:ext xmlns:c16="http://schemas.microsoft.com/office/drawing/2014/chart" uri="{C3380CC4-5D6E-409C-BE32-E72D297353CC}">
              <c16:uniqueId val="{00000006-5D80-4117-BE84-6D610DAC055D}"/>
            </c:ext>
          </c:extLst>
        </c:ser>
        <c:dLbls>
          <c:showLegendKey val="0"/>
          <c:showVal val="0"/>
          <c:showCatName val="0"/>
          <c:showSerName val="0"/>
          <c:showPercent val="0"/>
          <c:showBubbleSize val="0"/>
          <c:showLeaderLines val="1"/>
        </c:dLbls>
        <c:firstSliceAng val="0"/>
      </c:pieChart>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E2841"/>
              </a:solidFill>
              <a:latin typeface="Aptos"/>
            </a:defRPr>
          </a:pPr>
          <a:endParaRPr lang="en-US"/>
        </a:p>
      </c:txPr>
    </c:legend>
    <c:plotVisOnly val="1"/>
    <c:dispBlanksAs val="gap"/>
    <c:showDLblsOverMax val="0"/>
  </c:chart>
  <c:spPr>
    <a:solidFill>
      <a:srgbClr val="FFFFFF"/>
    </a:solidFill>
    <a:ln w="9528" cap="flat">
      <a:solidFill>
        <a:srgbClr val="CADFF4"/>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0E2841"/>
          </a:solidFill>
          <a:latin typeface="Aptos"/>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lIns="0" tIns="0" rIns="0" bIns="0"/>
          <a:lstStyle/>
          <a:p>
            <a:pPr marL="0" marR="0" indent="0" algn="ctr" defTabSz="914400" fontAlgn="auto" hangingPunct="1">
              <a:lnSpc>
                <a:spcPct val="100000"/>
              </a:lnSpc>
              <a:spcBef>
                <a:spcPts val="0"/>
              </a:spcBef>
              <a:spcAft>
                <a:spcPts val="0"/>
              </a:spcAft>
              <a:tabLst/>
              <a:defRPr lang="en-US" sz="1400" b="0" i="0" u="none" strike="noStrike" kern="1200" spc="0" baseline="0">
                <a:solidFill>
                  <a:srgbClr val="595959"/>
                </a:solidFill>
                <a:latin typeface="Aptos"/>
              </a:defRPr>
            </a:pPr>
            <a:r>
              <a:rPr lang="en-US" sz="1400" b="0" i="0" u="none" strike="noStrike" kern="1200" cap="none" spc="0" baseline="0">
                <a:solidFill>
                  <a:srgbClr val="595959"/>
                </a:solidFill>
                <a:uFillTx/>
                <a:latin typeface="Aptos"/>
              </a:rPr>
              <a:t>Time off in last 6 months</a:t>
            </a:r>
          </a:p>
        </c:rich>
      </c:tx>
      <c:overlay val="0"/>
      <c:spPr>
        <a:noFill/>
        <a:ln>
          <a:noFill/>
        </a:ln>
      </c:spPr>
    </c:title>
    <c:autoTitleDeleted val="0"/>
    <c:plotArea>
      <c:layout/>
      <c:barChart>
        <c:barDir val="col"/>
        <c:grouping val="percentStacked"/>
        <c:varyColors val="0"/>
        <c:ser>
          <c:idx val="0"/>
          <c:order val="0"/>
          <c:tx>
            <c:v>Low</c:v>
          </c:tx>
          <c:spPr>
            <a:solidFill>
              <a:srgbClr val="156082"/>
            </a:solidFill>
            <a:ln>
              <a:noFill/>
            </a:ln>
          </c:spPr>
          <c:invertIfNegative val="0"/>
          <c:cat>
            <c:strLit>
              <c:ptCount val="3"/>
              <c:pt idx="0">
                <c:v>No</c:v>
              </c:pt>
              <c:pt idx="1">
                <c:v>Yes</c:v>
              </c:pt>
              <c:pt idx="2">
                <c:v>Prefer not to say</c:v>
              </c:pt>
            </c:strLit>
          </c:cat>
          <c:val>
            <c:numLit>
              <c:formatCode>General</c:formatCode>
              <c:ptCount val="3"/>
              <c:pt idx="0">
                <c:v>0.91314553990610325</c:v>
              </c:pt>
              <c:pt idx="1">
                <c:v>5.9859154929577461E-2</c:v>
              </c:pt>
              <c:pt idx="2">
                <c:v>2.699530516431925E-2</c:v>
              </c:pt>
            </c:numLit>
          </c:val>
          <c:extLst>
            <c:ext xmlns:c16="http://schemas.microsoft.com/office/drawing/2014/chart" uri="{C3380CC4-5D6E-409C-BE32-E72D297353CC}">
              <c16:uniqueId val="{00000000-F494-47E4-A4B2-F33146D6352F}"/>
            </c:ext>
          </c:extLst>
        </c:ser>
        <c:ser>
          <c:idx val="1"/>
          <c:order val="1"/>
          <c:tx>
            <c:v>Moderate</c:v>
          </c:tx>
          <c:spPr>
            <a:solidFill>
              <a:srgbClr val="E97132"/>
            </a:solidFill>
            <a:ln>
              <a:noFill/>
            </a:ln>
          </c:spPr>
          <c:invertIfNegative val="0"/>
          <c:cat>
            <c:strLit>
              <c:ptCount val="3"/>
              <c:pt idx="0">
                <c:v>No</c:v>
              </c:pt>
              <c:pt idx="1">
                <c:v>Yes</c:v>
              </c:pt>
              <c:pt idx="2">
                <c:v>Prefer not to say</c:v>
              </c:pt>
            </c:strLit>
          </c:cat>
          <c:val>
            <c:numLit>
              <c:formatCode>General</c:formatCode>
              <c:ptCount val="3"/>
              <c:pt idx="0">
                <c:v>0.83543078412391092</c:v>
              </c:pt>
              <c:pt idx="1">
                <c:v>0.12487899322362052</c:v>
              </c:pt>
              <c:pt idx="2">
                <c:v>3.9690222652468542E-2</c:v>
              </c:pt>
            </c:numLit>
          </c:val>
          <c:extLst>
            <c:ext xmlns:c16="http://schemas.microsoft.com/office/drawing/2014/chart" uri="{C3380CC4-5D6E-409C-BE32-E72D297353CC}">
              <c16:uniqueId val="{00000001-F494-47E4-A4B2-F33146D6352F}"/>
            </c:ext>
          </c:extLst>
        </c:ser>
        <c:ser>
          <c:idx val="2"/>
          <c:order val="2"/>
          <c:tx>
            <c:v>High</c:v>
          </c:tx>
          <c:spPr>
            <a:solidFill>
              <a:srgbClr val="196B24"/>
            </a:solidFill>
            <a:ln>
              <a:noFill/>
            </a:ln>
          </c:spPr>
          <c:invertIfNegative val="0"/>
          <c:cat>
            <c:strLit>
              <c:ptCount val="3"/>
              <c:pt idx="0">
                <c:v>No</c:v>
              </c:pt>
              <c:pt idx="1">
                <c:v>Yes</c:v>
              </c:pt>
              <c:pt idx="2">
                <c:v>Prefer not to say</c:v>
              </c:pt>
            </c:strLit>
          </c:cat>
          <c:val>
            <c:numLit>
              <c:formatCode>General</c:formatCode>
              <c:ptCount val="3"/>
              <c:pt idx="0">
                <c:v>0.75155279503105588</c:v>
              </c:pt>
              <c:pt idx="1">
                <c:v>0.20186335403726707</c:v>
              </c:pt>
              <c:pt idx="2">
                <c:v>4.6583850931677016E-2</c:v>
              </c:pt>
            </c:numLit>
          </c:val>
          <c:extLst>
            <c:ext xmlns:c16="http://schemas.microsoft.com/office/drawing/2014/chart" uri="{C3380CC4-5D6E-409C-BE32-E72D297353CC}">
              <c16:uniqueId val="{00000002-F494-47E4-A4B2-F33146D6352F}"/>
            </c:ext>
          </c:extLst>
        </c:ser>
        <c:dLbls>
          <c:showLegendKey val="0"/>
          <c:showVal val="0"/>
          <c:showCatName val="0"/>
          <c:showSerName val="0"/>
          <c:showPercent val="0"/>
          <c:showBubbleSize val="0"/>
        </c:dLbls>
        <c:gapWidth val="150"/>
        <c:overlap val="100"/>
        <c:axId val="359026304"/>
        <c:axId val="359037344"/>
      </c:barChart>
      <c:valAx>
        <c:axId val="359037344"/>
        <c:scaling>
          <c:orientation val="minMax"/>
        </c:scaling>
        <c:delete val="0"/>
        <c:axPos val="l"/>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26304"/>
        <c:crosses val="autoZero"/>
        <c:crossBetween val="between"/>
      </c:valAx>
      <c:catAx>
        <c:axId val="359026304"/>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3734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Never/Rarely</c:v>
          </c:tx>
          <c:spPr>
            <a:solidFill>
              <a:srgbClr val="156082"/>
            </a:solidFill>
            <a:ln>
              <a:noFill/>
            </a:ln>
          </c:spPr>
          <c:invertIfNegative val="0"/>
          <c:cat>
            <c:strLit>
              <c:ptCount val="3"/>
              <c:pt idx="0">
                <c:v>Low</c:v>
              </c:pt>
              <c:pt idx="1">
                <c:v>Moderate</c:v>
              </c:pt>
              <c:pt idx="2">
                <c:v>High</c:v>
              </c:pt>
            </c:strLit>
          </c:cat>
          <c:val>
            <c:numLit>
              <c:formatCode>General</c:formatCode>
              <c:ptCount val="3"/>
              <c:pt idx="0">
                <c:v>0.94835680751173712</c:v>
              </c:pt>
              <c:pt idx="1">
                <c:v>0.76573088092933206</c:v>
              </c:pt>
              <c:pt idx="2">
                <c:v>0.4503105590062112</c:v>
              </c:pt>
            </c:numLit>
          </c:val>
          <c:extLst>
            <c:ext xmlns:c16="http://schemas.microsoft.com/office/drawing/2014/chart" uri="{C3380CC4-5D6E-409C-BE32-E72D297353CC}">
              <c16:uniqueId val="{00000000-F4CA-4754-8CCA-BE6BDE5CAC63}"/>
            </c:ext>
          </c:extLst>
        </c:ser>
        <c:ser>
          <c:idx val="1"/>
          <c:order val="1"/>
          <c:tx>
            <c:v>Occasionally</c:v>
          </c:tx>
          <c:spPr>
            <a:solidFill>
              <a:srgbClr val="E97132"/>
            </a:solidFill>
            <a:ln>
              <a:noFill/>
            </a:ln>
          </c:spPr>
          <c:invertIfNegative val="0"/>
          <c:cat>
            <c:strLit>
              <c:ptCount val="3"/>
              <c:pt idx="0">
                <c:v>Low</c:v>
              </c:pt>
              <c:pt idx="1">
                <c:v>Moderate</c:v>
              </c:pt>
              <c:pt idx="2">
                <c:v>High</c:v>
              </c:pt>
            </c:strLit>
          </c:cat>
          <c:val>
            <c:numLit>
              <c:formatCode>General</c:formatCode>
              <c:ptCount val="3"/>
              <c:pt idx="0">
                <c:v>4.1079812206572773E-2</c:v>
              </c:pt>
              <c:pt idx="1">
                <c:v>0.1393998063891578</c:v>
              </c:pt>
              <c:pt idx="2">
                <c:v>0.2267080745341615</c:v>
              </c:pt>
            </c:numLit>
          </c:val>
          <c:extLst>
            <c:ext xmlns:c16="http://schemas.microsoft.com/office/drawing/2014/chart" uri="{C3380CC4-5D6E-409C-BE32-E72D297353CC}">
              <c16:uniqueId val="{00000001-F4CA-4754-8CCA-BE6BDE5CAC63}"/>
            </c:ext>
          </c:extLst>
        </c:ser>
        <c:ser>
          <c:idx val="2"/>
          <c:order val="2"/>
          <c:tx>
            <c:v>Always/Often</c:v>
          </c:tx>
          <c:spPr>
            <a:solidFill>
              <a:srgbClr val="196B24"/>
            </a:solidFill>
            <a:ln>
              <a:noFill/>
            </a:ln>
          </c:spPr>
          <c:invertIfNegative val="0"/>
          <c:cat>
            <c:strLit>
              <c:ptCount val="3"/>
              <c:pt idx="0">
                <c:v>Low</c:v>
              </c:pt>
              <c:pt idx="1">
                <c:v>Moderate</c:v>
              </c:pt>
              <c:pt idx="2">
                <c:v>High</c:v>
              </c:pt>
            </c:strLit>
          </c:cat>
          <c:val>
            <c:numLit>
              <c:formatCode>General</c:formatCode>
              <c:ptCount val="3"/>
              <c:pt idx="0">
                <c:v>1.0563380281690141E-2</c:v>
              </c:pt>
              <c:pt idx="1">
                <c:v>9.4869312681510165E-2</c:v>
              </c:pt>
              <c:pt idx="2">
                <c:v>0.32298136645962733</c:v>
              </c:pt>
            </c:numLit>
          </c:val>
          <c:extLst>
            <c:ext xmlns:c16="http://schemas.microsoft.com/office/drawing/2014/chart" uri="{C3380CC4-5D6E-409C-BE32-E72D297353CC}">
              <c16:uniqueId val="{00000002-F4CA-4754-8CCA-BE6BDE5CAC63}"/>
            </c:ext>
          </c:extLst>
        </c:ser>
        <c:dLbls>
          <c:showLegendKey val="0"/>
          <c:showVal val="0"/>
          <c:showCatName val="0"/>
          <c:showSerName val="0"/>
          <c:showPercent val="0"/>
          <c:showBubbleSize val="0"/>
        </c:dLbls>
        <c:gapWidth val="219"/>
        <c:overlap val="-27"/>
        <c:axId val="359038304"/>
        <c:axId val="359027264"/>
      </c:barChart>
      <c:valAx>
        <c:axId val="359027264"/>
        <c:scaling>
          <c:orientation val="minMax"/>
        </c:scaling>
        <c:delete val="0"/>
        <c:axPos val="l"/>
        <c:majorGridlines>
          <c:spPr>
            <a:ln w="9528" cap="flat">
              <a:solidFill>
                <a:srgbClr val="D9D9D9"/>
              </a:solidFill>
              <a:prstDash val="solid"/>
              <a:round/>
            </a:ln>
          </c:spPr>
        </c:majorGridlines>
        <c:numFmt formatCode="0%" sourceLinked="0"/>
        <c:majorTickMark val="none"/>
        <c:minorTickMark val="none"/>
        <c:tickLblPos val="nextTo"/>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38304"/>
        <c:crosses val="autoZero"/>
        <c:crossBetween val="between"/>
      </c:valAx>
      <c:catAx>
        <c:axId val="359038304"/>
        <c:scaling>
          <c:orientation val="minMax"/>
        </c:scaling>
        <c:delete val="0"/>
        <c:axPos val="b"/>
        <c:numFmt formatCode="General" sourceLinked="0"/>
        <c:majorTickMark val="none"/>
        <c:minorTickMark val="none"/>
        <c:tickLblPos val="nextTo"/>
        <c:spPr>
          <a:no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crossAx val="359027264"/>
        <c:crosses val="autoZero"/>
        <c:auto val="1"/>
        <c:lblAlgn val="ctr"/>
        <c:lblOffset val="100"/>
        <c:noMultiLvlLbl val="0"/>
      </c:catAx>
      <c:spPr>
        <a:noFill/>
        <a:ln>
          <a:noFill/>
        </a:ln>
      </c:spPr>
    </c:plotArea>
    <c:legend>
      <c:legendPos val="b"/>
      <c:overlay val="0"/>
      <c:spPr>
        <a:noFill/>
        <a:ln>
          <a:noFill/>
        </a:ln>
      </c:spPr>
      <c:txPr>
        <a:bodyPr lIns="0" tIns="0" rIns="0" bIns="0"/>
        <a:lstStyle/>
        <a:p>
          <a:pPr marL="0" marR="0" indent="0" defTabSz="914400" fontAlgn="auto" hangingPunct="1">
            <a:lnSpc>
              <a:spcPct val="100000"/>
            </a:lnSpc>
            <a:spcBef>
              <a:spcPts val="0"/>
            </a:spcBef>
            <a:spcAft>
              <a:spcPts val="0"/>
            </a:spcAft>
            <a:tabLst/>
            <a:defRPr lang="en-US" sz="900" b="0" i="0" u="none" strike="noStrike" kern="1200" baseline="0">
              <a:solidFill>
                <a:srgbClr val="595959"/>
              </a:solidFill>
              <a:latin typeface="Aptos"/>
            </a:defRPr>
          </a:pPr>
          <a:endParaRPr lang="en-US"/>
        </a:p>
      </c:txPr>
    </c:legend>
    <c:plotVisOnly val="1"/>
    <c:dispBlanksAs val="gap"/>
    <c:showDLblsOverMax val="0"/>
  </c:chart>
  <c:spPr>
    <a:solidFill>
      <a:srgbClr val="FFFFFF"/>
    </a:solidFill>
    <a:ln w="9528" cap="flat">
      <a:solidFill>
        <a:srgbClr val="D9D9D9"/>
      </a:solidFill>
      <a:prstDash val="solid"/>
      <a:round/>
    </a:ln>
  </c:spPr>
  <c:txPr>
    <a:bodyPr lIns="0" tIns="0" rIns="0" bIns="0"/>
    <a:lstStyle/>
    <a:p>
      <a:pPr marL="0" marR="0" indent="0" defTabSz="914400" fontAlgn="auto" hangingPunct="1">
        <a:lnSpc>
          <a:spcPct val="100000"/>
        </a:lnSpc>
        <a:spcBef>
          <a:spcPts val="0"/>
        </a:spcBef>
        <a:spcAft>
          <a:spcPts val="0"/>
        </a:spcAft>
        <a:tabLst/>
        <a:defRPr lang="en-US" sz="1000" b="0" i="0" u="none" strike="noStrike" kern="1200" baseline="0">
          <a:solidFill>
            <a:srgbClr val="000000"/>
          </a:solidFill>
          <a:latin typeface="Aptos"/>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d625a8-a7b5-4ea2-bc04-e9a999bb7323">
      <Terms xmlns="http://schemas.microsoft.com/office/infopath/2007/PartnerControls"/>
    </lcf76f155ced4ddcb4097134ff3c332f>
    <TaxCatchAll xmlns="6d70edd2-d3b2-49a1-8980-d23185120d3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6D740F3C10FB642A748637D4656883A" ma:contentTypeVersion="10" ma:contentTypeDescription="Create a new document." ma:contentTypeScope="" ma:versionID="4468fd6d1cef9efd3b576fd388a7e2a9">
  <xsd:schema xmlns:xsd="http://www.w3.org/2001/XMLSchema" xmlns:xs="http://www.w3.org/2001/XMLSchema" xmlns:p="http://schemas.microsoft.com/office/2006/metadata/properties" xmlns:ns2="c0d625a8-a7b5-4ea2-bc04-e9a999bb7323" xmlns:ns3="6d70edd2-d3b2-49a1-8980-d23185120d38" targetNamespace="http://schemas.microsoft.com/office/2006/metadata/properties" ma:root="true" ma:fieldsID="c5f8af3edccd7c916554e29d03f00650" ns2:_="" ns3:_="">
    <xsd:import namespace="c0d625a8-a7b5-4ea2-bc04-e9a999bb7323"/>
    <xsd:import namespace="6d70edd2-d3b2-49a1-8980-d23185120d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625a8-a7b5-4ea2-bc04-e9a999bb73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632778d-5a8c-4377-958f-8268455c387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d70edd2-d3b2-49a1-8980-d23185120d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a61f0bc-3bca-44ca-bc95-4c17eec413a6}" ma:internalName="TaxCatchAll" ma:showField="CatchAllData" ma:web="6d70edd2-d3b2-49a1-8980-d23185120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1EC8D-96CA-4D07-9F81-D20A9FD8D883}">
  <ds:schemaRefs>
    <ds:schemaRef ds:uri="http://schemas.microsoft.com/sharepoint/v3/contenttype/forms"/>
  </ds:schemaRefs>
</ds:datastoreItem>
</file>

<file path=customXml/itemProps2.xml><?xml version="1.0" encoding="utf-8"?>
<ds:datastoreItem xmlns:ds="http://schemas.openxmlformats.org/officeDocument/2006/customXml" ds:itemID="{0107D0BF-38B7-40E1-A72C-889EA986595B}">
  <ds:schemaRefs>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microsoft.com/office/infopath/2007/PartnerControls"/>
    <ds:schemaRef ds:uri="http://schemas.openxmlformats.org/package/2006/metadata/core-properties"/>
    <ds:schemaRef ds:uri="6d70edd2-d3b2-49a1-8980-d23185120d38"/>
    <ds:schemaRef ds:uri="c0d625a8-a7b5-4ea2-bc04-e9a999bb7323"/>
    <ds:schemaRef ds:uri="http://www.w3.org/XML/1998/namespace"/>
  </ds:schemaRefs>
</ds:datastoreItem>
</file>

<file path=customXml/itemProps3.xml><?xml version="1.0" encoding="utf-8"?>
<ds:datastoreItem xmlns:ds="http://schemas.openxmlformats.org/officeDocument/2006/customXml" ds:itemID="{397B53CB-FB5E-4B8A-8B44-46A8CC034A1C}">
  <ds:schemaRefs>
    <ds:schemaRef ds:uri="http://schemas.openxmlformats.org/officeDocument/2006/bibliography"/>
  </ds:schemaRefs>
</ds:datastoreItem>
</file>

<file path=customXml/itemProps4.xml><?xml version="1.0" encoding="utf-8"?>
<ds:datastoreItem xmlns:ds="http://schemas.openxmlformats.org/officeDocument/2006/customXml" ds:itemID="{6423256C-3B5D-4755-990B-B5A35BCE0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625a8-a7b5-4ea2-bc04-e9a999bb7323"/>
    <ds:schemaRef ds:uri="6d70edd2-d3b2-49a1-8980-d23185120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RCOG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Ward</dc:creator>
  <keywords/>
  <dc:description/>
  <lastModifiedBy>Sakinah Takeram</lastModifiedBy>
  <revision>46</revision>
  <dcterms:created xsi:type="dcterms:W3CDTF">2022-09-14T10:26:00.0000000Z</dcterms:created>
  <dcterms:modified xsi:type="dcterms:W3CDTF">2026-01-16T16:03:37.4155125Z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0x010100F6D740F3C10FB642A748637D4656883A</vt:lpwstr>
  </property>
  <property fmtid="{D5CDD505-2E9C-101B-9397-08002B2CF9AE}" pid="3" name="Order">
    <vt:r8>2069600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